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3"/>
        <w:jc w:val="center"/>
        <w:rPr>
          <w:rFonts w:ascii="Times New Roman" w:hAnsi="Times New Roman" w:eastAsia="仿宋"/>
        </w:rPr>
      </w:pPr>
      <w:r>
        <w:rPr>
          <w:rFonts w:hint="eastAsia" w:ascii="Times New Roman" w:hAnsi="Times New Roman" w:eastAsia="仿宋"/>
        </w:rPr>
        <w:t xml:space="preserve">附件三 </w:t>
      </w:r>
      <w:r>
        <w:rPr>
          <w:rFonts w:ascii="Times New Roman" w:hAnsi="Times New Roman" w:eastAsia="仿宋"/>
        </w:rPr>
        <w:t>绩效考核</w:t>
      </w:r>
      <w:r>
        <w:rPr>
          <w:rFonts w:hint="eastAsia" w:ascii="Times New Roman" w:hAnsi="Times New Roman" w:eastAsia="仿宋"/>
        </w:rPr>
        <w:t>方案</w:t>
      </w:r>
    </w:p>
    <w:p>
      <w:pPr>
        <w:pStyle w:val="17"/>
        <w:rPr>
          <w:rFonts w:ascii="Times New Roman" w:hAnsi="Times New Roman"/>
        </w:rPr>
      </w:pPr>
      <w:r>
        <w:rPr>
          <w:rFonts w:ascii="Times New Roman" w:hAnsi="Times New Roman"/>
        </w:rPr>
        <w:t>绩效考核工作由区住建局牵头组织</w:t>
      </w:r>
      <w:r>
        <w:rPr>
          <w:rFonts w:hint="eastAsia" w:ascii="Times New Roman" w:hAnsi="Times New Roman"/>
        </w:rPr>
        <w:t>成立绩效考核领导小组</w:t>
      </w:r>
      <w:r>
        <w:rPr>
          <w:rFonts w:ascii="Times New Roman" w:hAnsi="Times New Roman"/>
        </w:rPr>
        <w:t>，</w:t>
      </w:r>
      <w:r>
        <w:rPr>
          <w:rFonts w:hint="eastAsia" w:ascii="Times New Roman" w:hAnsi="Times New Roman"/>
        </w:rPr>
        <w:t>办公室设住建局。</w:t>
      </w:r>
      <w:r>
        <w:rPr>
          <w:rFonts w:ascii="Times New Roman" w:hAnsi="Times New Roman"/>
        </w:rPr>
        <w:t>本项目从全生命周期成本考虑，分别从建设期和运营期设置不同的绩效考核指标，建设期和运营期绩效考核均为一年</w:t>
      </w:r>
      <w:r>
        <w:rPr>
          <w:rFonts w:hint="eastAsia" w:ascii="Times New Roman" w:hAnsi="Times New Roman"/>
          <w:lang w:eastAsia="zh-CN"/>
        </w:rPr>
        <w:t>一</w:t>
      </w:r>
      <w:bookmarkStart w:id="0" w:name="_GoBack"/>
      <w:bookmarkEnd w:id="0"/>
      <w:r>
        <w:rPr>
          <w:rFonts w:ascii="Times New Roman" w:hAnsi="Times New Roman"/>
        </w:rPr>
        <w:t>次。运营期内以政府全部可行性缺口补助额作为考核基数。由区住建局负责编制本项目《绩效考核管理办法》。</w:t>
      </w:r>
    </w:p>
    <w:p>
      <w:pPr>
        <w:pStyle w:val="4"/>
      </w:pPr>
      <w:r>
        <w:t>1建设期绩效考核指标</w:t>
      </w:r>
    </w:p>
    <w:p>
      <w:pPr>
        <w:pStyle w:val="17"/>
        <w:rPr>
          <w:rFonts w:ascii="Times New Roman" w:hAnsi="Times New Roman"/>
        </w:rPr>
      </w:pPr>
      <w:r>
        <w:rPr>
          <w:rFonts w:ascii="Times New Roman" w:hAnsi="Times New Roman"/>
        </w:rPr>
        <w:t>在绩效考核中，当项目未达到建设期绩效考核指标要求时，区住建局可扣减相应的费用，具体扣减费用在后续PPP合同中约定。根据《湖南省城乡生活污水治理PPP项目通用合同》本项目拟设定的建设期绩效考核指标如下：</w:t>
      </w:r>
    </w:p>
    <w:p>
      <w:pPr>
        <w:autoSpaceDE w:val="0"/>
        <w:autoSpaceDN w:val="0"/>
        <w:adjustRightInd w:val="0"/>
        <w:spacing w:line="240" w:lineRule="auto"/>
        <w:ind w:firstLine="0" w:firstLineChars="0"/>
        <w:jc w:val="center"/>
        <w:rPr>
          <w:szCs w:val="24"/>
        </w:rPr>
      </w:pPr>
      <w:r>
        <w:rPr>
          <w:szCs w:val="24"/>
        </w:rPr>
        <w:t>表1 项目建设期绩效考核指标体系</w:t>
      </w:r>
    </w:p>
    <w:tbl>
      <w:tblPr>
        <w:tblStyle w:val="12"/>
        <w:tblW w:w="87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453"/>
        <w:gridCol w:w="5386"/>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05" w:hRule="atLeast"/>
          <w:tblHeader/>
          <w:jc w:val="center"/>
        </w:trPr>
        <w:tc>
          <w:tcPr>
            <w:tcW w:w="1453"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320" w:lineRule="exact"/>
              <w:ind w:firstLine="0" w:firstLineChars="0"/>
              <w:jc w:val="center"/>
              <w:textAlignment w:val="center"/>
              <w:rPr>
                <w:b/>
                <w:bCs/>
                <w:sz w:val="24"/>
                <w:szCs w:val="24"/>
              </w:rPr>
            </w:pPr>
            <w:r>
              <w:rPr>
                <w:b/>
                <w:bCs/>
                <w:kern w:val="0"/>
                <w:sz w:val="24"/>
                <w:szCs w:val="24"/>
              </w:rPr>
              <w:t>考核内容</w:t>
            </w:r>
          </w:p>
        </w:tc>
        <w:tc>
          <w:tcPr>
            <w:tcW w:w="5386"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320" w:lineRule="exact"/>
              <w:ind w:firstLine="0" w:firstLineChars="0"/>
              <w:jc w:val="center"/>
              <w:textAlignment w:val="center"/>
              <w:rPr>
                <w:b/>
                <w:bCs/>
                <w:sz w:val="24"/>
                <w:szCs w:val="24"/>
              </w:rPr>
            </w:pPr>
            <w:r>
              <w:rPr>
                <w:b/>
                <w:bCs/>
                <w:kern w:val="0"/>
                <w:sz w:val="24"/>
                <w:szCs w:val="24"/>
              </w:rPr>
              <w:t>处罚措施</w:t>
            </w:r>
          </w:p>
        </w:tc>
        <w:tc>
          <w:tcPr>
            <w:tcW w:w="1920"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320" w:lineRule="exact"/>
              <w:ind w:firstLine="0" w:firstLineChars="0"/>
              <w:jc w:val="center"/>
              <w:textAlignment w:val="center"/>
              <w:rPr>
                <w:b/>
                <w:bCs/>
                <w:sz w:val="24"/>
                <w:szCs w:val="24"/>
              </w:rPr>
            </w:pPr>
            <w:r>
              <w:rPr>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087"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jc w:val="center"/>
              <w:textAlignment w:val="center"/>
              <w:rPr>
                <w:sz w:val="24"/>
                <w:szCs w:val="24"/>
              </w:rPr>
            </w:pPr>
            <w:r>
              <w:rPr>
                <w:kern w:val="0"/>
                <w:sz w:val="24"/>
                <w:szCs w:val="24"/>
              </w:rPr>
              <w:t>人员到位</w:t>
            </w:r>
          </w:p>
        </w:tc>
        <w:tc>
          <w:tcPr>
            <w:tcW w:w="5386" w:type="dxa"/>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jc w:val="left"/>
              <w:textAlignment w:val="center"/>
              <w:rPr>
                <w:kern w:val="0"/>
                <w:sz w:val="24"/>
                <w:szCs w:val="24"/>
              </w:rPr>
            </w:pPr>
            <w:r>
              <w:rPr>
                <w:kern w:val="0"/>
                <w:sz w:val="24"/>
                <w:szCs w:val="24"/>
              </w:rPr>
              <w:t>（1）对未经监理工程师同意没有按时进场或进场后发现缺岗的施工总承包项目负责人、生产责任人、技术负责人，将按</w:t>
            </w:r>
            <w:r>
              <w:rPr>
                <w:kern w:val="0"/>
                <w:sz w:val="24"/>
                <w:szCs w:val="24"/>
                <w:u w:val="single"/>
              </w:rPr>
              <w:t>1000</w:t>
            </w:r>
            <w:r>
              <w:rPr>
                <w:kern w:val="0"/>
                <w:sz w:val="24"/>
                <w:szCs w:val="24"/>
              </w:rPr>
              <w:t>元/（人</w:t>
            </w:r>
            <w:r>
              <w:rPr>
                <w:rFonts w:eastAsia="宋体"/>
                <w:kern w:val="0"/>
                <w:sz w:val="24"/>
                <w:szCs w:val="24"/>
              </w:rPr>
              <w:t>•</w:t>
            </w:r>
            <w:r>
              <w:rPr>
                <w:kern w:val="0"/>
                <w:sz w:val="24"/>
                <w:szCs w:val="24"/>
              </w:rPr>
              <w:t>天）处罚，直到缺员进场为止；</w:t>
            </w:r>
          </w:p>
          <w:p>
            <w:pPr>
              <w:spacing w:line="320" w:lineRule="exact"/>
              <w:ind w:firstLine="0" w:firstLineChars="0"/>
              <w:jc w:val="left"/>
              <w:textAlignment w:val="center"/>
              <w:rPr>
                <w:sz w:val="24"/>
                <w:szCs w:val="24"/>
              </w:rPr>
            </w:pPr>
            <w:r>
              <w:rPr>
                <w:kern w:val="0"/>
                <w:sz w:val="24"/>
                <w:szCs w:val="24"/>
              </w:rPr>
              <w:t>（2）对未按时进场或进场后发现缺岗的施工员、安全员、质检员、试验员等，将按</w:t>
            </w:r>
            <w:r>
              <w:rPr>
                <w:kern w:val="0"/>
                <w:sz w:val="24"/>
                <w:szCs w:val="24"/>
                <w:u w:val="single"/>
              </w:rPr>
              <w:t>500</w:t>
            </w:r>
            <w:r>
              <w:rPr>
                <w:kern w:val="0"/>
                <w:sz w:val="24"/>
                <w:szCs w:val="24"/>
              </w:rPr>
              <w:t>元/（人</w:t>
            </w:r>
            <w:r>
              <w:rPr>
                <w:rFonts w:eastAsia="宋体"/>
                <w:kern w:val="0"/>
                <w:sz w:val="24"/>
                <w:szCs w:val="24"/>
              </w:rPr>
              <w:t>•</w:t>
            </w:r>
            <w:r>
              <w:rPr>
                <w:kern w:val="0"/>
                <w:sz w:val="24"/>
                <w:szCs w:val="24"/>
              </w:rPr>
              <w:t>天）处罚，直到缺员进场为止。</w:t>
            </w:r>
          </w:p>
        </w:tc>
        <w:tc>
          <w:tcPr>
            <w:tcW w:w="1920" w:type="dxa"/>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jc w:val="center"/>
              <w:textAlignment w:val="center"/>
              <w:rPr>
                <w:sz w:val="24"/>
                <w:szCs w:val="24"/>
              </w:rPr>
            </w:pPr>
            <w:r>
              <w:rPr>
                <w:kern w:val="0"/>
                <w:sz w:val="24"/>
                <w:szCs w:val="24"/>
              </w:rPr>
              <w:t>项目公司可对施工总承包另行处罚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428"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jc w:val="center"/>
              <w:textAlignment w:val="center"/>
              <w:rPr>
                <w:sz w:val="24"/>
                <w:szCs w:val="24"/>
              </w:rPr>
            </w:pPr>
            <w:r>
              <w:rPr>
                <w:kern w:val="0"/>
                <w:sz w:val="24"/>
                <w:szCs w:val="24"/>
              </w:rPr>
              <w:t>验收未通过</w:t>
            </w:r>
          </w:p>
        </w:tc>
        <w:tc>
          <w:tcPr>
            <w:tcW w:w="5386" w:type="dxa"/>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jc w:val="left"/>
              <w:textAlignment w:val="center"/>
              <w:rPr>
                <w:sz w:val="24"/>
                <w:szCs w:val="24"/>
              </w:rPr>
            </w:pPr>
            <w:r>
              <w:rPr>
                <w:kern w:val="0"/>
                <w:sz w:val="24"/>
                <w:szCs w:val="24"/>
              </w:rPr>
              <w:t>根据工程验收标准，发生未通过竣工验收的情形，</w:t>
            </w:r>
            <w:r>
              <w:rPr>
                <w:rFonts w:hint="eastAsia"/>
                <w:kern w:val="0"/>
                <w:sz w:val="24"/>
                <w:szCs w:val="24"/>
              </w:rPr>
              <w:t>限期整改，在甲方要求的时间内仍未整改到位，超过限期的，超过一天</w:t>
            </w:r>
            <w:r>
              <w:rPr>
                <w:kern w:val="0"/>
                <w:sz w:val="24"/>
                <w:szCs w:val="24"/>
              </w:rPr>
              <w:t>按</w:t>
            </w:r>
            <w:r>
              <w:rPr>
                <w:kern w:val="0"/>
                <w:sz w:val="24"/>
                <w:szCs w:val="24"/>
                <w:u w:val="single"/>
              </w:rPr>
              <w:t>10000</w:t>
            </w:r>
            <w:r>
              <w:rPr>
                <w:kern w:val="0"/>
                <w:sz w:val="24"/>
                <w:szCs w:val="24"/>
              </w:rPr>
              <w:t>元/</w:t>
            </w:r>
            <w:r>
              <w:rPr>
                <w:rFonts w:hint="eastAsia"/>
                <w:kern w:val="0"/>
                <w:sz w:val="24"/>
                <w:szCs w:val="24"/>
              </w:rPr>
              <w:t>天</w:t>
            </w:r>
            <w:r>
              <w:rPr>
                <w:kern w:val="0"/>
                <w:sz w:val="24"/>
                <w:szCs w:val="24"/>
              </w:rPr>
              <w:t>处罚。</w:t>
            </w:r>
          </w:p>
        </w:tc>
        <w:tc>
          <w:tcPr>
            <w:tcW w:w="1920" w:type="dxa"/>
            <w:tcBorders>
              <w:top w:val="single" w:color="auto" w:sz="4" w:space="0"/>
              <w:left w:val="single" w:color="auto" w:sz="4" w:space="0"/>
              <w:bottom w:val="single" w:color="auto" w:sz="4" w:space="0"/>
              <w:right w:val="single" w:color="auto" w:sz="4" w:space="0"/>
            </w:tcBorders>
            <w:vAlign w:val="center"/>
          </w:tcPr>
          <w:p>
            <w:pPr>
              <w:spacing w:line="320" w:lineRule="exact"/>
              <w:ind w:firstLine="48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351"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jc w:val="center"/>
              <w:textAlignment w:val="center"/>
              <w:rPr>
                <w:sz w:val="24"/>
                <w:szCs w:val="24"/>
              </w:rPr>
            </w:pPr>
            <w:r>
              <w:rPr>
                <w:kern w:val="0"/>
                <w:sz w:val="24"/>
                <w:szCs w:val="24"/>
              </w:rPr>
              <w:t>节点工期延误</w:t>
            </w:r>
          </w:p>
        </w:tc>
        <w:tc>
          <w:tcPr>
            <w:tcW w:w="5386" w:type="dxa"/>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jc w:val="left"/>
              <w:textAlignment w:val="center"/>
              <w:rPr>
                <w:sz w:val="24"/>
                <w:szCs w:val="24"/>
              </w:rPr>
            </w:pPr>
            <w:r>
              <w:rPr>
                <w:kern w:val="0"/>
                <w:sz w:val="24"/>
                <w:szCs w:val="24"/>
              </w:rPr>
              <w:t>非政府方原因导致项目节点未按合同约定工期完工，每逾期1日，应支付</w:t>
            </w:r>
            <w:r>
              <w:rPr>
                <w:kern w:val="0"/>
                <w:sz w:val="24"/>
                <w:szCs w:val="24"/>
                <w:u w:val="single"/>
              </w:rPr>
              <w:t>10000</w:t>
            </w:r>
            <w:r>
              <w:rPr>
                <w:kern w:val="0"/>
                <w:sz w:val="24"/>
                <w:szCs w:val="24"/>
              </w:rPr>
              <w:t>元/日的违约赔偿金。</w:t>
            </w:r>
          </w:p>
        </w:tc>
        <w:tc>
          <w:tcPr>
            <w:tcW w:w="1920" w:type="dxa"/>
            <w:tcBorders>
              <w:top w:val="single" w:color="auto" w:sz="4" w:space="0"/>
              <w:left w:val="single" w:color="auto" w:sz="4" w:space="0"/>
              <w:bottom w:val="single" w:color="auto" w:sz="4" w:space="0"/>
              <w:right w:val="single" w:color="auto" w:sz="4" w:space="0"/>
            </w:tcBorders>
            <w:vAlign w:val="center"/>
          </w:tcPr>
          <w:p>
            <w:pPr>
              <w:spacing w:line="320" w:lineRule="exact"/>
              <w:ind w:firstLine="48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810"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jc w:val="center"/>
              <w:textAlignment w:val="center"/>
              <w:rPr>
                <w:sz w:val="24"/>
                <w:szCs w:val="24"/>
              </w:rPr>
            </w:pPr>
            <w:r>
              <w:rPr>
                <w:kern w:val="0"/>
                <w:sz w:val="24"/>
                <w:szCs w:val="24"/>
              </w:rPr>
              <w:t>安全生产事故</w:t>
            </w:r>
          </w:p>
        </w:tc>
        <w:tc>
          <w:tcPr>
            <w:tcW w:w="5386" w:type="dxa"/>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jc w:val="left"/>
              <w:textAlignment w:val="center"/>
              <w:rPr>
                <w:sz w:val="24"/>
                <w:szCs w:val="24"/>
              </w:rPr>
            </w:pPr>
            <w:r>
              <w:rPr>
                <w:rFonts w:hint="eastAsia"/>
                <w:kern w:val="0"/>
                <w:sz w:val="24"/>
                <w:szCs w:val="24"/>
              </w:rPr>
              <w:t>经区应急管理局确认的安全事故</w:t>
            </w:r>
            <w:r>
              <w:rPr>
                <w:kern w:val="0"/>
                <w:sz w:val="24"/>
                <w:szCs w:val="24"/>
              </w:rPr>
              <w:t>每发生一</w:t>
            </w:r>
            <w:r>
              <w:rPr>
                <w:rFonts w:hint="eastAsia"/>
                <w:kern w:val="0"/>
                <w:sz w:val="24"/>
                <w:szCs w:val="24"/>
              </w:rPr>
              <w:t>起</w:t>
            </w:r>
            <w:r>
              <w:rPr>
                <w:kern w:val="0"/>
                <w:sz w:val="24"/>
                <w:szCs w:val="24"/>
              </w:rPr>
              <w:t>，乙方应向甲方支付</w:t>
            </w:r>
            <w:r>
              <w:rPr>
                <w:kern w:val="0"/>
                <w:sz w:val="24"/>
                <w:szCs w:val="24"/>
                <w:u w:val="single"/>
              </w:rPr>
              <w:t>10000</w:t>
            </w:r>
            <w:r>
              <w:rPr>
                <w:kern w:val="0"/>
                <w:sz w:val="24"/>
                <w:szCs w:val="24"/>
              </w:rPr>
              <w:t>元的</w:t>
            </w:r>
            <w:r>
              <w:rPr>
                <w:rFonts w:hint="eastAsia"/>
                <w:kern w:val="0"/>
                <w:sz w:val="24"/>
                <w:szCs w:val="24"/>
              </w:rPr>
              <w:t>处罚</w:t>
            </w:r>
            <w:r>
              <w:rPr>
                <w:kern w:val="0"/>
                <w:sz w:val="24"/>
                <w:szCs w:val="24"/>
              </w:rPr>
              <w:t>；</w:t>
            </w:r>
            <w:r>
              <w:rPr>
                <w:sz w:val="24"/>
                <w:szCs w:val="24"/>
              </w:rPr>
              <w:t xml:space="preserve"> </w:t>
            </w:r>
          </w:p>
        </w:tc>
        <w:tc>
          <w:tcPr>
            <w:tcW w:w="1920" w:type="dxa"/>
            <w:tcBorders>
              <w:top w:val="single" w:color="auto" w:sz="4" w:space="0"/>
              <w:left w:val="single" w:color="auto" w:sz="4" w:space="0"/>
              <w:bottom w:val="single" w:color="auto" w:sz="4" w:space="0"/>
              <w:right w:val="single" w:color="auto" w:sz="4" w:space="0"/>
            </w:tcBorders>
            <w:vAlign w:val="center"/>
          </w:tcPr>
          <w:p>
            <w:pPr>
              <w:spacing w:line="320" w:lineRule="exact"/>
              <w:ind w:firstLine="48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775"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jc w:val="center"/>
              <w:textAlignment w:val="center"/>
              <w:rPr>
                <w:sz w:val="24"/>
                <w:szCs w:val="24"/>
              </w:rPr>
            </w:pPr>
            <w:r>
              <w:rPr>
                <w:kern w:val="0"/>
                <w:sz w:val="24"/>
                <w:szCs w:val="24"/>
              </w:rPr>
              <w:t>环境保护事故</w:t>
            </w:r>
          </w:p>
        </w:tc>
        <w:tc>
          <w:tcPr>
            <w:tcW w:w="5386" w:type="dxa"/>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jc w:val="left"/>
              <w:textAlignment w:val="center"/>
              <w:rPr>
                <w:sz w:val="24"/>
                <w:szCs w:val="24"/>
              </w:rPr>
            </w:pPr>
            <w:r>
              <w:rPr>
                <w:rFonts w:hint="eastAsia"/>
                <w:kern w:val="0"/>
                <w:sz w:val="24"/>
                <w:szCs w:val="24"/>
              </w:rPr>
              <w:t>发生</w:t>
            </w:r>
            <w:r>
              <w:rPr>
                <w:kern w:val="0"/>
                <w:sz w:val="24"/>
                <w:szCs w:val="24"/>
              </w:rPr>
              <w:t>环境保护事故，</w:t>
            </w:r>
            <w:r>
              <w:rPr>
                <w:rFonts w:hint="eastAsia"/>
                <w:kern w:val="0"/>
                <w:sz w:val="24"/>
                <w:szCs w:val="24"/>
              </w:rPr>
              <w:t>按有关规定处罚。</w:t>
            </w:r>
          </w:p>
        </w:tc>
        <w:tc>
          <w:tcPr>
            <w:tcW w:w="1920" w:type="dxa"/>
            <w:tcBorders>
              <w:top w:val="single" w:color="auto" w:sz="4" w:space="0"/>
              <w:left w:val="single" w:color="auto" w:sz="4" w:space="0"/>
              <w:bottom w:val="single" w:color="auto" w:sz="4" w:space="0"/>
              <w:right w:val="single" w:color="auto" w:sz="4" w:space="0"/>
            </w:tcBorders>
            <w:vAlign w:val="center"/>
          </w:tcPr>
          <w:p>
            <w:pPr>
              <w:spacing w:line="320" w:lineRule="exact"/>
              <w:ind w:firstLine="480"/>
              <w:rPr>
                <w:sz w:val="24"/>
                <w:szCs w:val="24"/>
              </w:rPr>
            </w:pPr>
          </w:p>
        </w:tc>
      </w:tr>
    </w:tbl>
    <w:p>
      <w:pPr>
        <w:adjustRightInd w:val="0"/>
        <w:spacing w:line="240" w:lineRule="auto"/>
        <w:ind w:right="-50" w:rightChars="-18" w:firstLine="0" w:firstLineChars="0"/>
        <w:rPr>
          <w:b/>
          <w:sz w:val="24"/>
          <w:szCs w:val="28"/>
        </w:rPr>
      </w:pPr>
      <w:r>
        <w:rPr>
          <w:b/>
          <w:bCs/>
          <w:sz w:val="24"/>
          <w:szCs w:val="28"/>
        </w:rPr>
        <w:t>注：</w:t>
      </w:r>
      <w:r>
        <w:rPr>
          <w:b/>
          <w:sz w:val="24"/>
          <w:szCs w:val="28"/>
        </w:rPr>
        <w:t>若国家、省、市出台具体考核办法或新的规定，则上表中与之不一致的或未作约定的或约定不明的，以国家、省、市出台标准为准进行调整并执行。</w:t>
      </w:r>
    </w:p>
    <w:p>
      <w:pPr>
        <w:pStyle w:val="4"/>
      </w:pPr>
      <w:r>
        <w:t>2建设期绩效考核方式</w:t>
      </w:r>
    </w:p>
    <w:p>
      <w:pPr>
        <w:pStyle w:val="17"/>
        <w:rPr>
          <w:rFonts w:ascii="Times New Roman" w:hAnsi="Times New Roman"/>
        </w:rPr>
      </w:pPr>
      <w:r>
        <w:rPr>
          <w:rFonts w:ascii="Times New Roman" w:hAnsi="Times New Roman"/>
        </w:rPr>
        <w:t>建设期内，绩效考核小组通过常规考核、建设节点考核与临时考核相结合的方式，对项目公司建设管理情况进行考核，并将考核结果作为建设期社会资本违约的依据。</w:t>
      </w:r>
    </w:p>
    <w:p>
      <w:pPr>
        <w:pStyle w:val="17"/>
        <w:rPr>
          <w:rFonts w:ascii="Times New Roman" w:hAnsi="Times New Roman"/>
        </w:rPr>
      </w:pPr>
      <w:r>
        <w:rPr>
          <w:rFonts w:ascii="Times New Roman" w:hAnsi="Times New Roman"/>
        </w:rPr>
        <w:t>（1）常规考核</w:t>
      </w:r>
    </w:p>
    <w:p>
      <w:pPr>
        <w:pStyle w:val="17"/>
        <w:rPr>
          <w:rFonts w:ascii="Times New Roman" w:hAnsi="Times New Roman"/>
        </w:rPr>
      </w:pPr>
      <w:r>
        <w:rPr>
          <w:rFonts w:ascii="Times New Roman" w:hAnsi="Times New Roman"/>
        </w:rPr>
        <w:t>常规考核每季度进行一次，绩效考核小组需提前通知项目公司，考核小组在随机选取的区域进行现场考核，项目公司应提供相关资料以供检查，另外根据需要安排相关人员进行访谈，同时结合周边居民满意度调查结果形成考核结果。</w:t>
      </w:r>
    </w:p>
    <w:p>
      <w:pPr>
        <w:pStyle w:val="17"/>
        <w:rPr>
          <w:rFonts w:ascii="Times New Roman" w:hAnsi="Times New Roman"/>
        </w:rPr>
      </w:pPr>
      <w:r>
        <w:rPr>
          <w:rFonts w:ascii="Times New Roman" w:hAnsi="Times New Roman"/>
        </w:rPr>
        <w:t>（2）建设节点考核</w:t>
      </w:r>
    </w:p>
    <w:p>
      <w:pPr>
        <w:pStyle w:val="17"/>
        <w:rPr>
          <w:rFonts w:ascii="Times New Roman" w:hAnsi="Times New Roman"/>
        </w:rPr>
      </w:pPr>
      <w:r>
        <w:rPr>
          <w:rFonts w:ascii="Times New Roman" w:hAnsi="Times New Roman"/>
        </w:rPr>
        <w:t>建设节点考核时间在本项目绩效考核办法规定。项目公司确认可以在规定的节点完成进度控制目标的，应在节点之前一个月内申报考核计划。在投资或验收目标达到后的一周内项目公司应将相关结果材料汇总上报协调监管单位，由协调监管单位组织考核工作。</w:t>
      </w:r>
    </w:p>
    <w:p>
      <w:pPr>
        <w:pStyle w:val="17"/>
        <w:rPr>
          <w:rFonts w:ascii="Times New Roman" w:hAnsi="Times New Roman"/>
        </w:rPr>
      </w:pPr>
      <w:r>
        <w:rPr>
          <w:rFonts w:ascii="Times New Roman" w:hAnsi="Times New Roman"/>
        </w:rPr>
        <w:t>（3）临时考核</w:t>
      </w:r>
    </w:p>
    <w:p>
      <w:pPr>
        <w:pStyle w:val="17"/>
        <w:rPr>
          <w:rFonts w:ascii="Times New Roman" w:hAnsi="Times New Roman"/>
        </w:rPr>
      </w:pPr>
      <w:r>
        <w:rPr>
          <w:rFonts w:ascii="Times New Roman" w:hAnsi="Times New Roman"/>
        </w:rPr>
        <w:t>绩效考核小组提前通知项目公司考核时间，现场随机选取施工项目对工程质量、安全文明生产及实际工程进度进行考核，形成临时考核结果。</w:t>
      </w:r>
    </w:p>
    <w:p>
      <w:pPr>
        <w:pStyle w:val="4"/>
      </w:pPr>
      <w:r>
        <w:rPr>
          <w:rFonts w:hint="eastAsia"/>
        </w:rPr>
        <w:t>3考核结果的应用</w:t>
      </w:r>
    </w:p>
    <w:p>
      <w:pPr>
        <w:pStyle w:val="17"/>
        <w:rPr>
          <w:rFonts w:ascii="Times New Roman" w:hAnsi="Times New Roman"/>
        </w:rPr>
      </w:pPr>
      <w:r>
        <w:rPr>
          <w:rFonts w:hint="eastAsia" w:ascii="Times New Roman" w:hAnsi="Times New Roman"/>
        </w:rPr>
        <w:t>以绩效考核领导小组的考核结果为依据，项目公司应将处罚金额上缴给大通湖区财政事务中心</w:t>
      </w:r>
      <w:r>
        <w:rPr>
          <w:rFonts w:ascii="Times New Roman" w:hAnsi="Times New Roman"/>
        </w:rPr>
        <w:t>。</w:t>
      </w:r>
    </w:p>
    <w:p>
      <w:pPr>
        <w:pStyle w:val="4"/>
      </w:pPr>
      <w:r>
        <w:rPr>
          <w:rFonts w:hint="eastAsia"/>
        </w:rPr>
        <w:t>4</w:t>
      </w:r>
      <w:r>
        <w:t>运营期绩效考核指标</w:t>
      </w:r>
    </w:p>
    <w:p>
      <w:pPr>
        <w:pStyle w:val="17"/>
        <w:rPr>
          <w:rFonts w:ascii="Times New Roman" w:hAnsi="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701" w:left="1588" w:header="1247" w:footer="851" w:gutter="0"/>
          <w:pgNumType w:start="1"/>
          <w:cols w:space="720" w:num="1"/>
          <w:docGrid w:type="lines" w:linePitch="381" w:charSpace="0"/>
        </w:sectPr>
      </w:pPr>
      <w:r>
        <w:rPr>
          <w:rFonts w:ascii="Times New Roman" w:hAnsi="Times New Roman"/>
        </w:rPr>
        <w:t>为提高项目运营管理质量和效率，保障所提供的公共产品或公共服务的运营状况良好，在进水水质</w:t>
      </w:r>
      <w:r>
        <w:rPr>
          <w:rFonts w:hint="eastAsia" w:ascii="Times New Roman" w:hAnsi="Times New Roman"/>
        </w:rPr>
        <w:t>、</w:t>
      </w:r>
      <w:r>
        <w:rPr>
          <w:rFonts w:ascii="Times New Roman" w:hAnsi="Times New Roman"/>
        </w:rPr>
        <w:t>水量</w:t>
      </w:r>
      <w:r>
        <w:rPr>
          <w:rFonts w:hint="eastAsia" w:ascii="Times New Roman" w:hAnsi="Times New Roman"/>
        </w:rPr>
        <w:t>正常</w:t>
      </w:r>
      <w:r>
        <w:rPr>
          <w:rFonts w:ascii="Times New Roman" w:hAnsi="Times New Roman"/>
        </w:rPr>
        <w:t>的情况下，</w:t>
      </w:r>
      <w:r>
        <w:rPr>
          <w:rFonts w:hint="eastAsia" w:ascii="Times New Roman" w:hAnsi="Times New Roman"/>
        </w:rPr>
        <w:t>绩效考核领导小组办公室组织</w:t>
      </w:r>
      <w:r>
        <w:rPr>
          <w:rFonts w:ascii="Times New Roman" w:hAnsi="Times New Roman"/>
        </w:rPr>
        <w:t>对本项目运营维护情况进行监测、评分、考核。根据绩效考核结果，相应地确定年政府补助。绩效考核框架见下表</w:t>
      </w:r>
      <w:r>
        <w:rPr>
          <w:rFonts w:hint="eastAsia" w:ascii="Times New Roman" w:hAnsi="Times New Roman"/>
        </w:rPr>
        <w:t>2、表3</w:t>
      </w:r>
      <w:r>
        <w:rPr>
          <w:rFonts w:ascii="Times New Roman" w:hAnsi="Times New Roman"/>
        </w:rPr>
        <w:t>：</w:t>
      </w:r>
    </w:p>
    <w:p>
      <w:pPr>
        <w:adjustRightInd w:val="0"/>
        <w:spacing w:line="240" w:lineRule="auto"/>
        <w:ind w:firstLine="0" w:firstLineChars="0"/>
        <w:jc w:val="center"/>
        <w:rPr>
          <w:color w:val="000000"/>
          <w:szCs w:val="24"/>
        </w:rPr>
      </w:pPr>
      <w:r>
        <w:rPr>
          <w:color w:val="000000"/>
          <w:szCs w:val="24"/>
        </w:rPr>
        <w:t>表5-</w:t>
      </w:r>
      <w:r>
        <w:rPr>
          <w:rFonts w:hint="eastAsia"/>
          <w:color w:val="000000"/>
          <w:szCs w:val="24"/>
        </w:rPr>
        <w:t>2</w:t>
      </w:r>
      <w:r>
        <w:rPr>
          <w:color w:val="000000"/>
          <w:szCs w:val="24"/>
        </w:rPr>
        <w:t xml:space="preserve"> 项目运营期绩效考核评分标准（污水处理厂/站）</w:t>
      </w:r>
    </w:p>
    <w:tbl>
      <w:tblPr>
        <w:tblStyle w:val="12"/>
        <w:tblW w:w="143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99"/>
        <w:gridCol w:w="909"/>
        <w:gridCol w:w="996"/>
        <w:gridCol w:w="1902"/>
        <w:gridCol w:w="797"/>
        <w:gridCol w:w="3461"/>
        <w:gridCol w:w="2509"/>
        <w:gridCol w:w="1125"/>
        <w:gridCol w:w="1002"/>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10" w:hRule="atLeast"/>
          <w:tblHeader/>
          <w:jc w:val="center"/>
        </w:trPr>
        <w:tc>
          <w:tcPr>
            <w:tcW w:w="599" w:type="dxa"/>
            <w:tcBorders>
              <w:top w:val="single" w:color="auto" w:sz="4" w:space="0"/>
              <w:left w:val="single" w:color="auto" w:sz="4" w:space="0"/>
              <w:bottom w:val="single" w:color="auto" w:sz="4" w:space="0"/>
              <w:right w:val="single" w:color="auto" w:sz="4" w:space="0"/>
            </w:tcBorders>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序号</w:t>
            </w:r>
          </w:p>
        </w:tc>
        <w:tc>
          <w:tcPr>
            <w:tcW w:w="909" w:type="dxa"/>
            <w:tcBorders>
              <w:top w:val="single" w:color="auto" w:sz="4" w:space="0"/>
              <w:left w:val="single" w:color="auto" w:sz="4" w:space="0"/>
              <w:bottom w:val="single" w:color="auto" w:sz="4" w:space="0"/>
              <w:right w:val="single" w:color="auto" w:sz="4" w:space="0"/>
            </w:tcBorders>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项目</w:t>
            </w:r>
          </w:p>
        </w:tc>
        <w:tc>
          <w:tcPr>
            <w:tcW w:w="996" w:type="dxa"/>
            <w:tcBorders>
              <w:top w:val="single" w:color="auto" w:sz="4" w:space="0"/>
              <w:left w:val="single" w:color="auto" w:sz="4" w:space="0"/>
              <w:bottom w:val="single" w:color="auto" w:sz="4" w:space="0"/>
              <w:right w:val="single" w:color="auto" w:sz="4" w:space="0"/>
            </w:tcBorders>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项目总分</w:t>
            </w:r>
          </w:p>
        </w:tc>
        <w:tc>
          <w:tcPr>
            <w:tcW w:w="1902" w:type="dxa"/>
            <w:tcBorders>
              <w:top w:val="single" w:color="auto" w:sz="4" w:space="0"/>
              <w:left w:val="single" w:color="auto" w:sz="4" w:space="0"/>
              <w:bottom w:val="single" w:color="auto" w:sz="4" w:space="0"/>
              <w:right w:val="single" w:color="auto" w:sz="4" w:space="0"/>
            </w:tcBorders>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考核内容</w:t>
            </w:r>
          </w:p>
        </w:tc>
        <w:tc>
          <w:tcPr>
            <w:tcW w:w="797" w:type="dxa"/>
            <w:tcBorders>
              <w:top w:val="single" w:color="auto" w:sz="4" w:space="0"/>
              <w:left w:val="single" w:color="auto" w:sz="4" w:space="0"/>
              <w:bottom w:val="single" w:color="auto" w:sz="4" w:space="0"/>
              <w:right w:val="single" w:color="auto" w:sz="4" w:space="0"/>
            </w:tcBorders>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分值</w:t>
            </w:r>
          </w:p>
        </w:tc>
        <w:tc>
          <w:tcPr>
            <w:tcW w:w="3461" w:type="dxa"/>
            <w:tcBorders>
              <w:top w:val="single" w:color="auto" w:sz="4" w:space="0"/>
              <w:left w:val="single" w:color="auto" w:sz="4" w:space="0"/>
              <w:bottom w:val="single" w:color="auto" w:sz="4" w:space="0"/>
              <w:right w:val="single" w:color="auto" w:sz="4" w:space="0"/>
            </w:tcBorders>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扣分标准</w:t>
            </w:r>
          </w:p>
        </w:tc>
        <w:tc>
          <w:tcPr>
            <w:tcW w:w="2509" w:type="dxa"/>
            <w:tcBorders>
              <w:top w:val="single" w:color="auto" w:sz="4" w:space="0"/>
              <w:left w:val="single" w:color="auto" w:sz="4" w:space="0"/>
              <w:bottom w:val="single" w:color="auto" w:sz="4" w:space="0"/>
              <w:right w:val="single" w:color="auto" w:sz="4" w:space="0"/>
            </w:tcBorders>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检查说明</w:t>
            </w:r>
          </w:p>
        </w:tc>
        <w:tc>
          <w:tcPr>
            <w:tcW w:w="1125" w:type="dxa"/>
            <w:tcBorders>
              <w:top w:val="single" w:color="auto" w:sz="4" w:space="0"/>
              <w:left w:val="single" w:color="auto" w:sz="4" w:space="0"/>
              <w:bottom w:val="single" w:color="auto" w:sz="4" w:space="0"/>
              <w:right w:val="single" w:color="auto" w:sz="4" w:space="0"/>
            </w:tcBorders>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检查记录</w:t>
            </w:r>
          </w:p>
        </w:tc>
        <w:tc>
          <w:tcPr>
            <w:tcW w:w="1002" w:type="dxa"/>
            <w:tcBorders>
              <w:top w:val="single" w:color="auto" w:sz="4" w:space="0"/>
              <w:left w:val="single" w:color="auto" w:sz="4" w:space="0"/>
              <w:bottom w:val="single" w:color="auto" w:sz="4" w:space="0"/>
              <w:right w:val="single" w:color="auto" w:sz="4" w:space="0"/>
            </w:tcBorders>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分项扣分</w:t>
            </w:r>
          </w:p>
        </w:tc>
        <w:tc>
          <w:tcPr>
            <w:tcW w:w="1020" w:type="dxa"/>
            <w:tcBorders>
              <w:top w:val="single" w:color="auto" w:sz="4" w:space="0"/>
              <w:left w:val="single" w:color="auto" w:sz="4" w:space="0"/>
              <w:bottom w:val="single" w:color="auto" w:sz="4" w:space="0"/>
              <w:right w:val="single" w:color="auto" w:sz="4" w:space="0"/>
            </w:tcBorders>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项目得分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856" w:hRule="atLeast"/>
          <w:jc w:val="center"/>
        </w:trPr>
        <w:tc>
          <w:tcPr>
            <w:tcW w:w="59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90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人员情况</w:t>
            </w:r>
          </w:p>
        </w:tc>
        <w:tc>
          <w:tcPr>
            <w:tcW w:w="996"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满分</w:t>
            </w:r>
            <w:r>
              <w:rPr>
                <w:rFonts w:hint="eastAsia"/>
                <w:kern w:val="0"/>
                <w:sz w:val="24"/>
                <w:szCs w:val="24"/>
              </w:rPr>
              <w:t>5</w:t>
            </w:r>
            <w:r>
              <w:rPr>
                <w:kern w:val="0"/>
                <w:sz w:val="24"/>
                <w:szCs w:val="24"/>
              </w:rPr>
              <w:t>分，最低0分</w:t>
            </w: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厂长（经理）</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rFonts w:hint="eastAsia"/>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厂长（经理）从事类似排水、环保工作年限不少于5年，得</w:t>
            </w:r>
            <w:r>
              <w:rPr>
                <w:rFonts w:hint="eastAsia"/>
                <w:kern w:val="0"/>
                <w:sz w:val="24"/>
                <w:szCs w:val="24"/>
              </w:rPr>
              <w:t>1</w:t>
            </w:r>
            <w:r>
              <w:rPr>
                <w:kern w:val="0"/>
                <w:sz w:val="24"/>
                <w:szCs w:val="24"/>
              </w:rPr>
              <w:t>分，若少于5年，每少一年扣0.5分，最多扣</w:t>
            </w:r>
            <w:r>
              <w:rPr>
                <w:rFonts w:hint="eastAsia"/>
                <w:kern w:val="0"/>
                <w:sz w:val="24"/>
                <w:szCs w:val="24"/>
              </w:rPr>
              <w:t>1</w:t>
            </w:r>
            <w:r>
              <w:rPr>
                <w:kern w:val="0"/>
                <w:sz w:val="24"/>
                <w:szCs w:val="24"/>
              </w:rPr>
              <w:t>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工作年限以毕业证书为依据</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936"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技术负责人</w:t>
            </w:r>
          </w:p>
          <w:p>
            <w:pPr>
              <w:autoSpaceDE w:val="0"/>
              <w:autoSpaceDN w:val="0"/>
              <w:adjustRightInd w:val="0"/>
              <w:spacing w:line="240" w:lineRule="auto"/>
              <w:ind w:firstLine="0" w:firstLineChars="0"/>
              <w:rPr>
                <w:kern w:val="0"/>
                <w:sz w:val="24"/>
                <w:szCs w:val="24"/>
              </w:rPr>
            </w:pPr>
            <w:r>
              <w:rPr>
                <w:kern w:val="0"/>
                <w:sz w:val="24"/>
                <w:szCs w:val="24"/>
              </w:rPr>
              <w:t>是否持证</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rFonts w:hint="eastAsia"/>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技术负责人持有国家或湖南省住房和建设行政主管部门颁发的相关专业中级职称证书，得</w:t>
            </w:r>
            <w:r>
              <w:rPr>
                <w:rFonts w:hint="eastAsia"/>
                <w:kern w:val="0"/>
                <w:sz w:val="24"/>
                <w:szCs w:val="24"/>
              </w:rPr>
              <w:t>1</w:t>
            </w:r>
            <w:r>
              <w:rPr>
                <w:kern w:val="0"/>
                <w:sz w:val="24"/>
                <w:szCs w:val="24"/>
              </w:rPr>
              <w:t>分，否则不得分。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证书以国家或湖南省住建主管部门颁发为准。</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175"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rFonts w:hint="eastAsia"/>
                <w:kern w:val="0"/>
                <w:sz w:val="24"/>
                <w:szCs w:val="24"/>
              </w:rPr>
              <w:t>培训</w:t>
            </w:r>
            <w:r>
              <w:rPr>
                <w:kern w:val="0"/>
                <w:sz w:val="24"/>
                <w:szCs w:val="24"/>
              </w:rPr>
              <w:t>上岗人员比例是否达标</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rFonts w:hint="eastAsia"/>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rFonts w:hint="eastAsia"/>
                <w:kern w:val="0"/>
                <w:sz w:val="24"/>
                <w:szCs w:val="24"/>
              </w:rPr>
              <w:t>培训</w:t>
            </w:r>
            <w:r>
              <w:rPr>
                <w:kern w:val="0"/>
                <w:sz w:val="24"/>
                <w:szCs w:val="24"/>
              </w:rPr>
              <w:t>上岗率达到80%以上，得</w:t>
            </w:r>
            <w:r>
              <w:rPr>
                <w:rFonts w:hint="eastAsia"/>
                <w:kern w:val="0"/>
                <w:sz w:val="24"/>
                <w:szCs w:val="24"/>
              </w:rPr>
              <w:t>1</w:t>
            </w:r>
            <w:r>
              <w:rPr>
                <w:kern w:val="0"/>
                <w:sz w:val="24"/>
                <w:szCs w:val="24"/>
              </w:rPr>
              <w:t>分；每低10个百分点扣0.5分，最多扣</w:t>
            </w:r>
            <w:r>
              <w:rPr>
                <w:rFonts w:hint="eastAsia"/>
                <w:kern w:val="0"/>
                <w:sz w:val="24"/>
                <w:szCs w:val="24"/>
              </w:rPr>
              <w:t>1</w:t>
            </w:r>
            <w:r>
              <w:rPr>
                <w:kern w:val="0"/>
                <w:sz w:val="24"/>
                <w:szCs w:val="24"/>
              </w:rPr>
              <w:t>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rFonts w:hint="eastAsia"/>
                <w:kern w:val="0"/>
                <w:sz w:val="24"/>
                <w:szCs w:val="24"/>
              </w:rPr>
              <w:t>培训上岗证</w:t>
            </w:r>
            <w:r>
              <w:rPr>
                <w:kern w:val="0"/>
                <w:sz w:val="24"/>
                <w:szCs w:val="24"/>
              </w:rPr>
              <w:t>。</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82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运行管理机构</w:t>
            </w:r>
          </w:p>
          <w:p>
            <w:pPr>
              <w:autoSpaceDE w:val="0"/>
              <w:autoSpaceDN w:val="0"/>
              <w:adjustRightInd w:val="0"/>
              <w:spacing w:line="240" w:lineRule="auto"/>
              <w:ind w:firstLine="0" w:firstLineChars="0"/>
              <w:rPr>
                <w:kern w:val="0"/>
                <w:sz w:val="24"/>
                <w:szCs w:val="24"/>
              </w:rPr>
            </w:pPr>
            <w:r>
              <w:rPr>
                <w:kern w:val="0"/>
                <w:sz w:val="24"/>
                <w:szCs w:val="24"/>
              </w:rPr>
              <w:t>是否健全</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rFonts w:hint="eastAsia"/>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运行管理机构未配置或不健全的，扣0.5分至1分。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考核污水厂的组织框架，查验是否建立组织框架图。</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72"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岗位职责是否明确</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rFonts w:hint="eastAsia"/>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岗位职责未制定或不健全的，扣0.5分至1分。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考核岗位责任书</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00" w:hRule="atLeast"/>
          <w:jc w:val="center"/>
        </w:trPr>
        <w:tc>
          <w:tcPr>
            <w:tcW w:w="599" w:type="dxa"/>
            <w:vMerge w:val="restart"/>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909" w:type="dxa"/>
            <w:vMerge w:val="restart"/>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工艺运行管理</w:t>
            </w:r>
          </w:p>
        </w:tc>
        <w:tc>
          <w:tcPr>
            <w:tcW w:w="996" w:type="dxa"/>
            <w:vMerge w:val="restart"/>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满分25分，最低0分</w:t>
            </w: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是否依据标准建立污水处理厂工艺运行管理技术规程及工艺技术参数</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5</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制定技术规程和工艺控制参数扣5分。污水处理、中控、变配电、化验、污泥处理、消毒等主要工艺技术规程每缺1项扣1分，欠完善、不规范每项扣0.5分，工艺技术控制参数未上墙扣1分。明显不合理的该项全部不得分，最多扣5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结合污水厂工艺情况，对技术规程的实用性及可操作性进行核查。</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070" w:hRule="atLeast"/>
          <w:jc w:val="center"/>
        </w:trPr>
        <w:tc>
          <w:tcPr>
            <w:tcW w:w="59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是否编制年度分组检修和更新改造停水计划</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未制定年度计划扣2分，其中计划不规范、欠完善，扣1分；全年正常运行天数低于347天，扣1分。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查计划执行情况。</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820" w:hRule="atLeast"/>
          <w:jc w:val="center"/>
        </w:trPr>
        <w:tc>
          <w:tcPr>
            <w:tcW w:w="59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厂区噪音控制和臭味控制</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噪音控制超标扣1分，臭味控制超标扣1分。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查现场和环境监测相关资料。</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197" w:hRule="atLeast"/>
          <w:jc w:val="center"/>
        </w:trPr>
        <w:tc>
          <w:tcPr>
            <w:tcW w:w="59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运行记录和统计</w:t>
            </w:r>
          </w:p>
          <w:p>
            <w:pPr>
              <w:autoSpaceDE w:val="0"/>
              <w:autoSpaceDN w:val="0"/>
              <w:adjustRightInd w:val="0"/>
              <w:spacing w:line="240" w:lineRule="auto"/>
              <w:ind w:firstLine="0" w:firstLineChars="0"/>
              <w:rPr>
                <w:kern w:val="0"/>
                <w:sz w:val="24"/>
                <w:szCs w:val="24"/>
              </w:rPr>
            </w:pPr>
            <w:r>
              <w:rPr>
                <w:kern w:val="0"/>
                <w:sz w:val="24"/>
                <w:szCs w:val="24"/>
              </w:rPr>
              <w:t>报表</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运行记录和统计报表不完整、不规范每处扣0.5分；生产运行数据不合理扣1-2分；计算机记录未备份扣0.5分。最多扣2分。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查看生产调度和现场工段日记录等，内容应涵盖污水量、污泥量及含水率、水质、药耗、电耗、生产工艺运行参数；异常情况原因分析及处理情况。</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03" w:hRule="atLeast"/>
          <w:jc w:val="center"/>
        </w:trPr>
        <w:tc>
          <w:tcPr>
            <w:tcW w:w="59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生产运行过程控制</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生化池未配置溶氧仪等对工艺调控起指导作用的在线仪表扣1分至2分，管理不善的扣0.5分至1分。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查资料和现场</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80" w:hRule="atLeast"/>
          <w:jc w:val="center"/>
        </w:trPr>
        <w:tc>
          <w:tcPr>
            <w:tcW w:w="59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未按要求对生化池污泥SV、SVI、MLSS和微生物镜检等分析的，每项次扣1分。最多扣2分。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查资料和现场</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430" w:hRule="atLeast"/>
          <w:jc w:val="center"/>
        </w:trPr>
        <w:tc>
          <w:tcPr>
            <w:tcW w:w="59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未按要求在中控室显示出厂水流量、出厂水COD、氨氮（以N计）、总磷（以P计）、生化池溶解氧，每缺一项扣0.5分。最多扣2分。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查资料和现场</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88" w:hRule="atLeast"/>
          <w:jc w:val="center"/>
        </w:trPr>
        <w:tc>
          <w:tcPr>
            <w:tcW w:w="59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生产运行实际情况</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根据统计报表检查污水处理量、污泥处理量、自来水用水量、电耗、药耗等记录情况，是否与实际吻合，每发现一次不吻合扣0.5分。最多扣2分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查资料和现场</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55" w:hRule="atLeast"/>
          <w:jc w:val="center"/>
        </w:trPr>
        <w:tc>
          <w:tcPr>
            <w:tcW w:w="59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生产运行成本分析</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未进行生产运行成本分析的，每月扣1分。最多扣2分。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715" w:hRule="atLeast"/>
          <w:jc w:val="center"/>
        </w:trPr>
        <w:tc>
          <w:tcPr>
            <w:tcW w:w="59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是否按要求将信息数据及时备份保存</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数据备份不及时扣1分；数据保存不完整扣1分，最多扣2分。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查备份数据</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900" w:hRule="atLeast"/>
          <w:jc w:val="center"/>
        </w:trPr>
        <w:tc>
          <w:tcPr>
            <w:tcW w:w="599" w:type="dxa"/>
            <w:vMerge w:val="continue"/>
            <w:tcBorders>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是否按要求定期检查网络、信息系统及电子设备</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未定期检查网络、信息系统及电子设备扣1分，没有维护记录扣1分，维护记录不完整扣0.5分，最多扣2分。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查维护记录</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248" w:hRule="atLeast"/>
          <w:jc w:val="center"/>
        </w:trPr>
        <w:tc>
          <w:tcPr>
            <w:tcW w:w="59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3</w:t>
            </w:r>
          </w:p>
        </w:tc>
        <w:tc>
          <w:tcPr>
            <w:tcW w:w="90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水质管理</w:t>
            </w:r>
          </w:p>
        </w:tc>
        <w:tc>
          <w:tcPr>
            <w:tcW w:w="996"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满分</w:t>
            </w:r>
            <w:r>
              <w:rPr>
                <w:rFonts w:hint="eastAsia"/>
                <w:kern w:val="0"/>
                <w:sz w:val="24"/>
                <w:szCs w:val="24"/>
              </w:rPr>
              <w:t>40</w:t>
            </w:r>
            <w:r>
              <w:rPr>
                <w:kern w:val="0"/>
                <w:sz w:val="24"/>
                <w:szCs w:val="24"/>
              </w:rPr>
              <w:t>分，最低0分</w:t>
            </w: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排放标准</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rFonts w:hint="eastAsia"/>
                <w:kern w:val="0"/>
                <w:sz w:val="24"/>
                <w:szCs w:val="24"/>
              </w:rPr>
              <w:t>20</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按《城镇污水处理厂污染物排放标准》（GB18918）和环保部门环评批复要求进行排放。每超标排放一次扣</w:t>
            </w:r>
            <w:r>
              <w:rPr>
                <w:rFonts w:hint="eastAsia"/>
                <w:kern w:val="0"/>
                <w:sz w:val="24"/>
                <w:szCs w:val="24"/>
              </w:rPr>
              <w:t>2</w:t>
            </w:r>
            <w:r>
              <w:rPr>
                <w:kern w:val="0"/>
                <w:sz w:val="24"/>
                <w:szCs w:val="24"/>
              </w:rPr>
              <w:t>分，最多扣</w:t>
            </w:r>
            <w:r>
              <w:rPr>
                <w:rFonts w:hint="eastAsia"/>
                <w:kern w:val="0"/>
                <w:sz w:val="24"/>
                <w:szCs w:val="24"/>
              </w:rPr>
              <w:t>20</w:t>
            </w:r>
            <w:r>
              <w:rPr>
                <w:kern w:val="0"/>
                <w:sz w:val="24"/>
                <w:szCs w:val="24"/>
              </w:rPr>
              <w:t>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查资料、在线监测</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0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抽检检测日、月报表及原始报表</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rFonts w:hint="eastAsia"/>
                <w:kern w:val="0"/>
                <w:sz w:val="24"/>
                <w:szCs w:val="24"/>
              </w:rPr>
              <w:t>5</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检测报表不真实，每发现一处扣1分，最多扣</w:t>
            </w:r>
            <w:r>
              <w:rPr>
                <w:rFonts w:hint="eastAsia"/>
                <w:kern w:val="0"/>
                <w:sz w:val="24"/>
                <w:szCs w:val="24"/>
              </w:rPr>
              <w:t>5</w:t>
            </w:r>
            <w:r>
              <w:rPr>
                <w:kern w:val="0"/>
                <w:sz w:val="24"/>
                <w:szCs w:val="24"/>
              </w:rPr>
              <w:t>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检查组现场查证。如果发现某一个或某些指标长时间不达标，检查组应充分考察、检查工艺、设备运行实际情况，尤其根据有无实际管理措施、管理方案、自我限定整改合理时间进度、主观是否努力改善等判定，并予以评估。</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9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是否按要求对水质进行检测化验</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5</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按要求对水质进行检测化验的扣1分，化验室设置和仪器设备不能满足检测要求的，各扣1分，不能自检的检测项目未委托检测的，扣1分。未建立实验室质量控制体系，扣1分，化验室危险化学品和剧毒品管理不规范，扣0.5-1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查资料和现场</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8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水样取样和保管是否规范</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取样不规范每次扣0.5分，保管不规范每次扣0.5分，最多扣2分。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现场抽考取样人员相关操作和保存要领，现场核查是否低温保存或按实验要求取样、保存</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7"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是否按相关规定要求安装在线计量和检测设备并联网</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3</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未按要求安装并联网扣1-3分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查资料和现场</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10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检测周期是否按要求执行，检测报表是否规范完整（含统计）</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5</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检测周期未按要求执行的，扣1分，检测报表不完整、记录不规范扣0.5分，有效数字计算不准确扣0.5分，最多扣5分。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查资料，检测报表包括原始记录、日报表、月报表、水质合格率统计表等。</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014" w:hRule="atLeast"/>
          <w:jc w:val="center"/>
        </w:trPr>
        <w:tc>
          <w:tcPr>
            <w:tcW w:w="59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4</w:t>
            </w:r>
          </w:p>
        </w:tc>
        <w:tc>
          <w:tcPr>
            <w:tcW w:w="90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污泥管理</w:t>
            </w:r>
          </w:p>
        </w:tc>
        <w:tc>
          <w:tcPr>
            <w:tcW w:w="996"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满分5分，最低0分</w:t>
            </w:r>
          </w:p>
        </w:tc>
        <w:tc>
          <w:tcPr>
            <w:tcW w:w="1902" w:type="dxa"/>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污泥含水率及污泥检测</w:t>
            </w:r>
          </w:p>
        </w:tc>
        <w:tc>
          <w:tcPr>
            <w:tcW w:w="797" w:type="dxa"/>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月平均脱水后污泥含水率超过80%,每月扣0.5分，最多扣2分。</w:t>
            </w:r>
          </w:p>
        </w:tc>
        <w:tc>
          <w:tcPr>
            <w:tcW w:w="2509" w:type="dxa"/>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根据污泥处理处置工艺情况查污泥含水率等相关指标检测报表，现场查看污泥处理。</w:t>
            </w:r>
          </w:p>
        </w:tc>
        <w:tc>
          <w:tcPr>
            <w:tcW w:w="1125" w:type="dxa"/>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4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运行记录和统计报表</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运行记录和统计报表不完整或记录不规范，每处扣0.5分，最多扣1分。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查相关资料。</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744"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污泥处置</w:t>
            </w:r>
          </w:p>
        </w:tc>
        <w:tc>
          <w:tcPr>
            <w:tcW w:w="797" w:type="dxa"/>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污泥外运处置未实行污泥转运联单制度，每次扣0.5分，最多扣2分。</w:t>
            </w:r>
          </w:p>
        </w:tc>
        <w:tc>
          <w:tcPr>
            <w:tcW w:w="2509" w:type="dxa"/>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考查出厂污泥量、承运量、接收处置量是否相符，是否对处理后的污泥及其副产物的去向、用途、用量等进行跟踪、记录和报告。</w:t>
            </w:r>
          </w:p>
        </w:tc>
        <w:tc>
          <w:tcPr>
            <w:tcW w:w="1125" w:type="dxa"/>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595" w:hRule="atLeast"/>
          <w:jc w:val="center"/>
        </w:trPr>
        <w:tc>
          <w:tcPr>
            <w:tcW w:w="59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5</w:t>
            </w:r>
          </w:p>
        </w:tc>
        <w:tc>
          <w:tcPr>
            <w:tcW w:w="90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设备管理</w:t>
            </w:r>
          </w:p>
        </w:tc>
        <w:tc>
          <w:tcPr>
            <w:tcW w:w="996"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满分</w:t>
            </w:r>
            <w:r>
              <w:rPr>
                <w:rFonts w:hint="eastAsia"/>
                <w:kern w:val="0"/>
                <w:sz w:val="24"/>
                <w:szCs w:val="24"/>
              </w:rPr>
              <w:t>5</w:t>
            </w:r>
            <w:r>
              <w:rPr>
                <w:kern w:val="0"/>
                <w:sz w:val="24"/>
                <w:szCs w:val="24"/>
              </w:rPr>
              <w:t>分，最低0分</w:t>
            </w: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是否按规定建立设备完好率统计表和设备档案</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rFonts w:hint="eastAsia"/>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未按规定建立设备完好率统计表、未按规定建立设备的档案扣0.5-1分，其中不完整、不规范每处扣0.5分。未按要求对全部设备、主要工艺设备和无备用工艺设备完好率进行分类的，扣1分。本项最多扣</w:t>
            </w:r>
            <w:r>
              <w:rPr>
                <w:rFonts w:hint="eastAsia"/>
                <w:kern w:val="0"/>
                <w:sz w:val="24"/>
                <w:szCs w:val="24"/>
              </w:rPr>
              <w:t>1</w:t>
            </w:r>
            <w:r>
              <w:rPr>
                <w:kern w:val="0"/>
                <w:sz w:val="24"/>
                <w:szCs w:val="24"/>
              </w:rPr>
              <w:t>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查统计报表和设备单机档案（含设备登记卡、设备备品备件表、设备润滑保养记录、运行时数、故障及检修记录等）</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08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设备管理专业人员配置是否合理</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rFonts w:hint="eastAsia"/>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未设置设备管理专员扣1分，主要工艺设备未指定专人进行维护管理，每台扣0.5分。最多扣</w:t>
            </w:r>
            <w:r>
              <w:rPr>
                <w:rFonts w:hint="eastAsia"/>
                <w:kern w:val="0"/>
                <w:sz w:val="24"/>
                <w:szCs w:val="24"/>
              </w:rPr>
              <w:t>1</w:t>
            </w:r>
            <w:r>
              <w:rPr>
                <w:kern w:val="0"/>
                <w:sz w:val="24"/>
                <w:szCs w:val="24"/>
              </w:rPr>
              <w:t>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查相关资料，评估中应比对组织框架验证。查主要工艺设备维护记录等。</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31"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设备管理制度是否健全</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rFonts w:hint="eastAsia"/>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设备管理制度、岗位责任制及检查考核奖惩制度不健全，备品备件管理制度未建立或不健全的，扣0.5分至</w:t>
            </w:r>
            <w:r>
              <w:rPr>
                <w:rFonts w:hint="eastAsia"/>
                <w:kern w:val="0"/>
                <w:sz w:val="24"/>
                <w:szCs w:val="24"/>
              </w:rPr>
              <w:t>1</w:t>
            </w:r>
            <w:r>
              <w:rPr>
                <w:kern w:val="0"/>
                <w:sz w:val="24"/>
                <w:szCs w:val="24"/>
              </w:rPr>
              <w:t>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应包含设备管理制度、岗位责任制、检查考核奖惩制度和设备备品备件的管理制度</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7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设备检修和更新改造计划</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rFonts w:hint="eastAsia"/>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未制定合理的设备月度、年度检修和更新改造计划的，扣0.5分至</w:t>
            </w:r>
            <w:r>
              <w:rPr>
                <w:rFonts w:hint="eastAsia"/>
                <w:kern w:val="0"/>
                <w:sz w:val="24"/>
                <w:szCs w:val="24"/>
              </w:rPr>
              <w:t>1</w:t>
            </w:r>
            <w:r>
              <w:rPr>
                <w:kern w:val="0"/>
                <w:sz w:val="24"/>
                <w:szCs w:val="24"/>
              </w:rPr>
              <w:t>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查相关资料</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74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设备实际运行情况</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rFonts w:hint="eastAsia"/>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抽查1-3台设备，设备实际运行情况与资料不吻合的，每台设备扣1分,最多扣</w:t>
            </w:r>
            <w:r>
              <w:rPr>
                <w:rFonts w:hint="eastAsia"/>
                <w:kern w:val="0"/>
                <w:sz w:val="24"/>
                <w:szCs w:val="24"/>
              </w:rPr>
              <w:t>1</w:t>
            </w:r>
            <w:r>
              <w:rPr>
                <w:kern w:val="0"/>
                <w:sz w:val="24"/>
                <w:szCs w:val="24"/>
              </w:rPr>
              <w:t>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查相关资料及现场，设备运行时数、设备检修记录、备品备件、易耗品等使用情况（采购合同、进出仓单据及发票）、设备检修外包情况、设备现场实际运行情况进行考核</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810" w:hRule="atLeast"/>
          <w:jc w:val="center"/>
        </w:trPr>
        <w:tc>
          <w:tcPr>
            <w:tcW w:w="59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6</w:t>
            </w:r>
          </w:p>
        </w:tc>
        <w:tc>
          <w:tcPr>
            <w:tcW w:w="90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安全管理</w:t>
            </w:r>
          </w:p>
        </w:tc>
        <w:tc>
          <w:tcPr>
            <w:tcW w:w="996"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满分9分，最低0分</w:t>
            </w: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安全管理制度是否健全</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无安全管理制度或不健全扣0.5-1分，安全管理制度未上墙扣0.5-1分。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65"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安全生产责任书是否签订</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无逐级签订安全生产责任书，责任未落实，扣0.5-1分。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4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安全是否有专人负责和安全员</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安全无专人负责、无安全员，或安全员未持证上岗，扣0.5-1分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查资料，评估中应比对组织框架验证</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175"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年度安全生产计划</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未制定年度安全生产计划扣0.5-1分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年度安全生产计划，至少应包括安全检查计划、人员培训计划、安全设施配臵计划、应急预案演练计划和安全资金使用计划等</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50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是否按规定设置安全设施，标志是否合理，电气设备和特种设备是否取得相应的证书或检定报告书</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安全设施未按规定设置，每一处扣0.5分，最多扣1分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查安全设施是否配置齐全和标志设置是否合理。</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145"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是否制定应急预案</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未制定应急预案扣1分，其中不规范、欠完善扣0.5分，未实施扣0.5分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查资料。对其应急预案的管理、可操作性、适宜性、充分性检查，包括应急组织、管理程序、物资准备、演练方案和记录、总结报告等</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4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是否建立安全管理档案资料</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未建立安全管理档案资料扣1分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6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厂内是否存在安全隐患</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厂内存在安全隐患扣0.5-1分，存在重大安全隐扣1分。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查资料</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80" w:hRule="atLeast"/>
          <w:jc w:val="center"/>
        </w:trPr>
        <w:tc>
          <w:tcPr>
            <w:tcW w:w="59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7</w:t>
            </w:r>
          </w:p>
        </w:tc>
        <w:tc>
          <w:tcPr>
            <w:tcW w:w="90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厂容厂貌管理</w:t>
            </w:r>
          </w:p>
        </w:tc>
        <w:tc>
          <w:tcPr>
            <w:tcW w:w="996"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满分7分，最低0分</w:t>
            </w: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厂区内构、建筑物外观</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构筑物和建筑物外观不整洁、池面不干净或有异物，每处扣0.5分，最多扣2分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查现场</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775"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道路是否完好整洁，路网是否满足安全生产需要</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道路不完好、不整洁，路网没有满足安全生产需要，每处扣0.5分，最多扣1分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查现场</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8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绿化养护是否到位</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绿化养护未到位，每处扣0.5分，最多扣1分。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查现场</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796"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240" w:lineRule="auto"/>
              <w:ind w:firstLine="0" w:firstLineChars="0"/>
              <w:rPr>
                <w:kern w:val="0"/>
                <w:sz w:val="24"/>
                <w:szCs w:val="24"/>
              </w:rPr>
            </w:pPr>
            <w:r>
              <w:rPr>
                <w:kern w:val="0"/>
                <w:sz w:val="24"/>
                <w:szCs w:val="24"/>
              </w:rPr>
              <w:t>生产和办公场所是否整洁，物品是否摆放整齐</w:t>
            </w:r>
          </w:p>
        </w:tc>
        <w:tc>
          <w:tcPr>
            <w:tcW w:w="79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240" w:lineRule="auto"/>
              <w:ind w:firstLine="0" w:firstLineChars="0"/>
              <w:rPr>
                <w:kern w:val="0"/>
                <w:sz w:val="24"/>
                <w:szCs w:val="24"/>
              </w:rPr>
            </w:pPr>
            <w:r>
              <w:rPr>
                <w:kern w:val="0"/>
                <w:sz w:val="24"/>
                <w:szCs w:val="24"/>
              </w:rPr>
              <w:t>生产和办公场所不整洁，物品摆放不整齐，每处扣0.5分，最多扣1分</w:t>
            </w:r>
          </w:p>
        </w:tc>
        <w:tc>
          <w:tcPr>
            <w:tcW w:w="25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240" w:lineRule="auto"/>
              <w:ind w:firstLine="0" w:firstLineChars="0"/>
              <w:rPr>
                <w:kern w:val="0"/>
                <w:sz w:val="24"/>
                <w:szCs w:val="24"/>
              </w:rPr>
            </w:pPr>
            <w:r>
              <w:rPr>
                <w:kern w:val="0"/>
                <w:sz w:val="24"/>
                <w:szCs w:val="24"/>
              </w:rPr>
              <w:t>查现场</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5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240" w:lineRule="auto"/>
              <w:ind w:firstLine="0" w:firstLineChars="0"/>
              <w:rPr>
                <w:kern w:val="0"/>
                <w:sz w:val="24"/>
                <w:szCs w:val="24"/>
              </w:rPr>
            </w:pPr>
            <w:r>
              <w:rPr>
                <w:kern w:val="0"/>
                <w:sz w:val="24"/>
                <w:szCs w:val="24"/>
              </w:rPr>
              <w:t>污水厂简介、工艺流程和效果图是否上墙</w:t>
            </w:r>
          </w:p>
        </w:tc>
        <w:tc>
          <w:tcPr>
            <w:tcW w:w="79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240" w:lineRule="auto"/>
              <w:ind w:firstLine="0" w:firstLineChars="0"/>
              <w:rPr>
                <w:kern w:val="0"/>
                <w:sz w:val="24"/>
                <w:szCs w:val="24"/>
              </w:rPr>
            </w:pPr>
            <w:r>
              <w:rPr>
                <w:kern w:val="0"/>
                <w:sz w:val="24"/>
                <w:szCs w:val="24"/>
              </w:rPr>
              <w:t>污水处理厂简介、工艺流程和效果图未上墙扣0.5-1分</w:t>
            </w:r>
          </w:p>
        </w:tc>
        <w:tc>
          <w:tcPr>
            <w:tcW w:w="25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240" w:lineRule="auto"/>
              <w:ind w:firstLine="0" w:firstLineChars="0"/>
              <w:rPr>
                <w:kern w:val="0"/>
                <w:sz w:val="24"/>
                <w:szCs w:val="24"/>
              </w:rPr>
            </w:pPr>
            <w:r>
              <w:rPr>
                <w:kern w:val="0"/>
                <w:sz w:val="24"/>
                <w:szCs w:val="24"/>
              </w:rPr>
              <w:t>查现场</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28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管道是否有破损泄漏，阀门井和计量井等井盖是否完好，井内是否杂物、积泥和积水</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管道有破损泄漏，阀门井和计量井等井盖不完好，井内有杂物、积泥和积水，每处扣0.5分，最多扣1分。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查现场</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820" w:hRule="atLeast"/>
          <w:jc w:val="center"/>
        </w:trPr>
        <w:tc>
          <w:tcPr>
            <w:tcW w:w="59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8</w:t>
            </w:r>
          </w:p>
        </w:tc>
        <w:tc>
          <w:tcPr>
            <w:tcW w:w="90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档案管理</w:t>
            </w:r>
          </w:p>
        </w:tc>
        <w:tc>
          <w:tcPr>
            <w:tcW w:w="996"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满分4分，最低0分</w:t>
            </w: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是否将相关资料归档和配备专（兼）职档案人员</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未将资料归档和配备档案专(兼)职人员，扣0.5-1分。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根据提供的员工名册既分工确认，必要时考核相关专业常识</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115"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档案管理是否规范，资料是否完整</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2</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档案管理不规范、不完整扣0.5分；未按要求建立有生产运行、水质、设备、材料管理、安全、财务、人事等档案，每项扣0.5分，最多扣2分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查看现场和档案资料</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180" w:hRule="atLeast"/>
          <w:jc w:val="center"/>
        </w:trPr>
        <w:tc>
          <w:tcPr>
            <w:tcW w:w="59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是否按要求及时完整的填报“全国城镇污水处理管理信息系统”数据</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“全国城镇污水处理管理信息系统”缺报一个月扣0.5分，相关数据每缺一项扣0.1分。最多扣1分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查看现场和档案资料</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953" w:hRule="atLeast"/>
          <w:jc w:val="center"/>
        </w:trPr>
        <w:tc>
          <w:tcPr>
            <w:tcW w:w="599" w:type="dxa"/>
            <w:vMerge w:val="restart"/>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9</w:t>
            </w:r>
          </w:p>
        </w:tc>
        <w:tc>
          <w:tcPr>
            <w:tcW w:w="909" w:type="dxa"/>
            <w:vMerge w:val="restart"/>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加分项</w:t>
            </w:r>
          </w:p>
        </w:tc>
        <w:tc>
          <w:tcPr>
            <w:tcW w:w="996" w:type="dxa"/>
            <w:vMerge w:val="restart"/>
            <w:tcBorders>
              <w:top w:val="single" w:color="auto" w:sz="4" w:space="0"/>
              <w:left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最高20分，最低0分</w:t>
            </w: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正能量传播</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10</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因污水处理厂运营管理、水务热线处置、应急抢险或防汛保障等工作质量优秀，获得新闻媒体正面报道等形式表扬的，每次加2分，最多加10分。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查看档案资料</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55" w:hRule="atLeast"/>
          <w:jc w:val="center"/>
        </w:trPr>
        <w:tc>
          <w:tcPr>
            <w:tcW w:w="599" w:type="dxa"/>
            <w:vMerge w:val="continue"/>
            <w:tcBorders>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09" w:type="dxa"/>
            <w:vMerge w:val="continue"/>
            <w:tcBorders>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996" w:type="dxa"/>
            <w:vMerge w:val="continue"/>
            <w:tcBorders>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9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创新</w:t>
            </w:r>
          </w:p>
        </w:tc>
        <w:tc>
          <w:tcPr>
            <w:tcW w:w="7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kern w:val="0"/>
                <w:sz w:val="24"/>
                <w:szCs w:val="24"/>
              </w:rPr>
            </w:pPr>
            <w:r>
              <w:rPr>
                <w:kern w:val="0"/>
                <w:sz w:val="24"/>
                <w:szCs w:val="24"/>
              </w:rPr>
              <w:t>10</w:t>
            </w:r>
          </w:p>
        </w:tc>
        <w:tc>
          <w:tcPr>
            <w:tcW w:w="34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摸索、推广新技术、新工艺，形成理论体系，或在省级以上刊物发表相关文章，传播成功经验，促进行业发展的，每项加5分。</w:t>
            </w:r>
          </w:p>
        </w:tc>
        <w:tc>
          <w:tcPr>
            <w:tcW w:w="25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r>
              <w:rPr>
                <w:kern w:val="0"/>
                <w:sz w:val="24"/>
                <w:szCs w:val="24"/>
              </w:rPr>
              <w:t>查看档案资料</w:t>
            </w:r>
          </w:p>
        </w:tc>
        <w:tc>
          <w:tcPr>
            <w:tcW w:w="11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76" w:hRule="atLeast"/>
          <w:jc w:val="center"/>
        </w:trPr>
        <w:tc>
          <w:tcPr>
            <w:tcW w:w="2504"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b/>
                <w:bCs/>
                <w:kern w:val="0"/>
                <w:sz w:val="24"/>
                <w:szCs w:val="24"/>
              </w:rPr>
            </w:pPr>
            <w:r>
              <w:rPr>
                <w:b/>
                <w:bCs/>
                <w:kern w:val="0"/>
                <w:sz w:val="24"/>
                <w:szCs w:val="24"/>
              </w:rPr>
              <w:t>总分</w:t>
            </w:r>
          </w:p>
        </w:tc>
        <w:tc>
          <w:tcPr>
            <w:tcW w:w="11816"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737" w:hRule="atLeast"/>
          <w:jc w:val="center"/>
        </w:trPr>
        <w:tc>
          <w:tcPr>
            <w:tcW w:w="2504"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jc w:val="center"/>
              <w:rPr>
                <w:b/>
                <w:bCs/>
                <w:kern w:val="0"/>
                <w:sz w:val="24"/>
                <w:szCs w:val="24"/>
              </w:rPr>
            </w:pPr>
            <w:r>
              <w:rPr>
                <w:b/>
                <w:bCs/>
                <w:kern w:val="0"/>
                <w:sz w:val="24"/>
                <w:szCs w:val="24"/>
              </w:rPr>
              <w:t>总体评价</w:t>
            </w:r>
          </w:p>
        </w:tc>
        <w:tc>
          <w:tcPr>
            <w:tcW w:w="11816"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auto"/>
              <w:ind w:firstLine="0" w:firstLineChars="0"/>
              <w:rPr>
                <w:kern w:val="0"/>
                <w:sz w:val="24"/>
                <w:szCs w:val="24"/>
              </w:rPr>
            </w:pPr>
          </w:p>
        </w:tc>
      </w:tr>
    </w:tbl>
    <w:p>
      <w:pPr>
        <w:pStyle w:val="17"/>
        <w:rPr>
          <w:rFonts w:ascii="Times New Roman" w:hAnsi="Times New Roman"/>
          <w:color w:val="000000"/>
          <w:szCs w:val="24"/>
        </w:rPr>
        <w:sectPr>
          <w:headerReference r:id="rId9" w:type="default"/>
          <w:pgSz w:w="16838" w:h="11906" w:orient="landscape"/>
          <w:pgMar w:top="1588" w:right="1701" w:bottom="1588" w:left="1701" w:header="1247" w:footer="851" w:gutter="0"/>
          <w:cols w:space="720" w:num="1"/>
          <w:docGrid w:type="lines" w:linePitch="381" w:charSpace="0"/>
        </w:sectPr>
      </w:pPr>
    </w:p>
    <w:p>
      <w:pPr>
        <w:pStyle w:val="17"/>
        <w:jc w:val="center"/>
        <w:rPr>
          <w:rFonts w:ascii="Times New Roman" w:hAnsi="Times New Roman"/>
          <w:color w:val="000000"/>
          <w:szCs w:val="24"/>
        </w:rPr>
      </w:pPr>
      <w:r>
        <w:rPr>
          <w:rFonts w:ascii="Times New Roman" w:hAnsi="Times New Roman"/>
          <w:color w:val="000000"/>
          <w:szCs w:val="24"/>
        </w:rPr>
        <w:t>表5-</w:t>
      </w:r>
      <w:r>
        <w:rPr>
          <w:rFonts w:hint="eastAsia" w:ascii="Times New Roman" w:hAnsi="Times New Roman"/>
          <w:color w:val="000000"/>
          <w:szCs w:val="24"/>
        </w:rPr>
        <w:t>3</w:t>
      </w:r>
      <w:r>
        <w:rPr>
          <w:rFonts w:ascii="Times New Roman" w:hAnsi="Times New Roman"/>
          <w:color w:val="000000"/>
          <w:szCs w:val="24"/>
        </w:rPr>
        <w:t xml:space="preserve"> 项目运营期绩效考核评分标准（管网）</w:t>
      </w:r>
    </w:p>
    <w:tbl>
      <w:tblPr>
        <w:tblStyle w:val="12"/>
        <w:tblW w:w="142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99"/>
        <w:gridCol w:w="909"/>
        <w:gridCol w:w="1160"/>
        <w:gridCol w:w="1738"/>
        <w:gridCol w:w="526"/>
        <w:gridCol w:w="4257"/>
        <w:gridCol w:w="1984"/>
        <w:gridCol w:w="1125"/>
        <w:gridCol w:w="103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tblHeader/>
          <w:jc w:val="center"/>
        </w:trPr>
        <w:tc>
          <w:tcPr>
            <w:tcW w:w="599" w:type="dxa"/>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序号</w:t>
            </w:r>
          </w:p>
        </w:tc>
        <w:tc>
          <w:tcPr>
            <w:tcW w:w="909" w:type="dxa"/>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项目</w:t>
            </w:r>
          </w:p>
        </w:tc>
        <w:tc>
          <w:tcPr>
            <w:tcW w:w="1160" w:type="dxa"/>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项目总分</w:t>
            </w:r>
          </w:p>
        </w:tc>
        <w:tc>
          <w:tcPr>
            <w:tcW w:w="1738" w:type="dxa"/>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考核内容</w:t>
            </w:r>
          </w:p>
        </w:tc>
        <w:tc>
          <w:tcPr>
            <w:tcW w:w="526" w:type="dxa"/>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分值</w:t>
            </w:r>
          </w:p>
        </w:tc>
        <w:tc>
          <w:tcPr>
            <w:tcW w:w="4257" w:type="dxa"/>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扣分标准</w:t>
            </w:r>
          </w:p>
        </w:tc>
        <w:tc>
          <w:tcPr>
            <w:tcW w:w="1984" w:type="dxa"/>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检查说明</w:t>
            </w:r>
          </w:p>
        </w:tc>
        <w:tc>
          <w:tcPr>
            <w:tcW w:w="1125" w:type="dxa"/>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检查记录</w:t>
            </w:r>
          </w:p>
        </w:tc>
        <w:tc>
          <w:tcPr>
            <w:tcW w:w="1037" w:type="dxa"/>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分项扣分</w:t>
            </w:r>
          </w:p>
        </w:tc>
        <w:tc>
          <w:tcPr>
            <w:tcW w:w="900" w:type="dxa"/>
            <w:shd w:val="clear" w:color="auto" w:fill="D9D9D9"/>
            <w:vAlign w:val="center"/>
          </w:tcPr>
          <w:p>
            <w:pPr>
              <w:autoSpaceDE w:val="0"/>
              <w:autoSpaceDN w:val="0"/>
              <w:adjustRightInd w:val="0"/>
              <w:spacing w:line="240" w:lineRule="auto"/>
              <w:ind w:firstLine="0" w:firstLineChars="0"/>
              <w:jc w:val="center"/>
              <w:rPr>
                <w:b/>
                <w:kern w:val="0"/>
                <w:sz w:val="24"/>
                <w:szCs w:val="24"/>
              </w:rPr>
            </w:pPr>
            <w:r>
              <w:rPr>
                <w:b/>
                <w:kern w:val="0"/>
                <w:sz w:val="24"/>
                <w:szCs w:val="24"/>
              </w:rPr>
              <w:t>项目得分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1</w:t>
            </w:r>
          </w:p>
        </w:tc>
        <w:tc>
          <w:tcPr>
            <w:tcW w:w="909"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内业资料考核</w:t>
            </w:r>
          </w:p>
        </w:tc>
        <w:tc>
          <w:tcPr>
            <w:tcW w:w="1160"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最高15分，最低0分</w:t>
            </w:r>
          </w:p>
        </w:tc>
        <w:tc>
          <w:tcPr>
            <w:tcW w:w="1738"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生产报表上报及时性</w:t>
            </w: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15</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生产报表（巡视、养护、中小型维修、大型维修）未及时上报，出现一次扣5分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查看现场和档案资料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2</w:t>
            </w:r>
          </w:p>
        </w:tc>
        <w:tc>
          <w:tcPr>
            <w:tcW w:w="909"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现场运营质量考核</w:t>
            </w:r>
          </w:p>
        </w:tc>
        <w:tc>
          <w:tcPr>
            <w:tcW w:w="1160"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最高50分，最低0分</w:t>
            </w:r>
          </w:p>
        </w:tc>
        <w:tc>
          <w:tcPr>
            <w:tcW w:w="1738"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检查排水管道和箱涵养护情况</w:t>
            </w: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15</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经过养护的排水管道淤积超过1/4管径的、检查井内淤积超过下游主管口1/4管径的，每次扣1分；超过1/3管径及以上的，每次扣2分；经过养护的箱涵淤积超过1/4箱涵高度的，每次扣2分；超过1/3高度及以上的，每次扣5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查现场和档案资料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60"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738"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3</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因排水管道、箱涵养护不到位导致污水冒溢的，发现一处扣3分。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查现场和档案资料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60"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738"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检查施工情况</w:t>
            </w: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6</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施工时没有做好文明施工，材料堆放不整齐、渣土清运不及时、清淤的淤泥污染路面的，发现一次扣3分。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查现场和档案资料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60"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738"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检查设施</w:t>
            </w: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2</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因设施巡查不到位，造成未及时发现检查井盖丢失损坏的，每处扣0.5分。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查现场和档案资料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60"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738"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2</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在接到井盖丢失损坏通知后，未及时到达现场维护或两小时内未开始维修的，每次扣1分。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查现场和档案资料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60"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738"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6</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养护作业时，未按要求进行管道通风、下井作业人员未按要求佩戴安全防护装备、现场交通护栏设施摆放不到位等相关情况，发现一次扣2分。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查现场</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9"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6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738"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6</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未及时发现并上报排水管道、检查井及其他污水设施被私接、占压、破坏等情况，且未采取必要制止和维护措施的，每次扣2分。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查现场</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9"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6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738"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5</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泵站的电气、仪表完好率未达到98%以上的，每次扣1分；泵站的水泵、格栅清污机、闸门等设施未进行养护的，每次扣1分；水泵、闸门及格栅清污机出现故障在3个工作日内未开始维修的，每次发现扣5分。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查现场和档案资料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9"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6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738"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5</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泵站未按要求配备并定点放置相关消防器材、未按规定对起重设备、电气安全用具等进行定期检测的、泵站运营资料及维修记录不完善的，每次扣1分。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查现场和档案资料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3</w:t>
            </w:r>
          </w:p>
        </w:tc>
        <w:tc>
          <w:tcPr>
            <w:tcW w:w="909"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问题整改及热线处置情况考核</w:t>
            </w:r>
          </w:p>
        </w:tc>
        <w:tc>
          <w:tcPr>
            <w:tcW w:w="1160"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最高20分，最低0分</w:t>
            </w:r>
          </w:p>
        </w:tc>
        <w:tc>
          <w:tcPr>
            <w:tcW w:w="1738"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检查问题整改及时性</w:t>
            </w: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5</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对上季度考核通报问题未及时完成整改并上报整改情况的，每一次扣5分。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查看档案资料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60"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738"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检查协议标准</w:t>
            </w: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10</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在应对上级检查、临时考核中未能达到协议制定标准的，每有一次扣5分。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查看档案资料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60"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738"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检查热线处置情况</w:t>
            </w: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5</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未在规定时间内及时处置相关居民投诉、12345热线转办、人大政协提案、相关主管部门交办事项的，每件扣1分。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查看档案资料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4</w:t>
            </w:r>
          </w:p>
        </w:tc>
        <w:tc>
          <w:tcPr>
            <w:tcW w:w="909"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应急抢险考核</w:t>
            </w:r>
          </w:p>
        </w:tc>
        <w:tc>
          <w:tcPr>
            <w:tcW w:w="1160"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最高15分，最低0分</w:t>
            </w:r>
          </w:p>
        </w:tc>
        <w:tc>
          <w:tcPr>
            <w:tcW w:w="1738"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考核应急抢险</w:t>
            </w: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5</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因自身原因造成抢险项目组织不当，导致未在规定时间内完成抢险处置的，每次扣5分。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查看档案资料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60"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738"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10</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因自身原因造成抢险处置不当，引发重大安全事故或形成恶劣社会影响的，每次扣10分。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查看档案资料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5</w:t>
            </w:r>
          </w:p>
        </w:tc>
        <w:tc>
          <w:tcPr>
            <w:tcW w:w="909"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加分项</w:t>
            </w:r>
          </w:p>
        </w:tc>
        <w:tc>
          <w:tcPr>
            <w:tcW w:w="1160" w:type="dxa"/>
            <w:vMerge w:val="restart"/>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最高20分，最低0分</w:t>
            </w:r>
          </w:p>
        </w:tc>
        <w:tc>
          <w:tcPr>
            <w:tcW w:w="1738"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正能量传播</w:t>
            </w: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10</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因污水管网养护、设施管理、水务热线处置、应急抢险或防汛保障等工作质量优秀，获得新闻媒体正面报道等形式表扬的，每次加2分，最多加10分。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查看档案资料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9"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60" w:type="dxa"/>
            <w:vMerge w:val="continue"/>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738"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创新</w:t>
            </w: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10</w:t>
            </w: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摸索、推广新技术、新工艺，形成理论体系，或在省级以上刊物发表相关文章，传播成功经验，促进行业发展的，每项加5分。</w:t>
            </w: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查看档案资料</w:t>
            </w: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2668" w:type="dxa"/>
            <w:gridSpan w:val="3"/>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总分</w:t>
            </w:r>
          </w:p>
        </w:tc>
        <w:tc>
          <w:tcPr>
            <w:tcW w:w="1738"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2668" w:type="dxa"/>
            <w:gridSpan w:val="3"/>
            <w:shd w:val="clear" w:color="auto" w:fill="auto"/>
            <w:vAlign w:val="center"/>
          </w:tcPr>
          <w:p>
            <w:pPr>
              <w:autoSpaceDE w:val="0"/>
              <w:autoSpaceDN w:val="0"/>
              <w:adjustRightInd w:val="0"/>
              <w:spacing w:line="240" w:lineRule="auto"/>
              <w:ind w:firstLine="0" w:firstLineChars="0"/>
              <w:jc w:val="center"/>
              <w:rPr>
                <w:bCs/>
                <w:kern w:val="0"/>
                <w:sz w:val="24"/>
                <w:szCs w:val="24"/>
              </w:rPr>
            </w:pPr>
            <w:r>
              <w:rPr>
                <w:bCs/>
                <w:kern w:val="0"/>
                <w:sz w:val="24"/>
                <w:szCs w:val="24"/>
              </w:rPr>
              <w:t>总体评价</w:t>
            </w:r>
          </w:p>
        </w:tc>
        <w:tc>
          <w:tcPr>
            <w:tcW w:w="1738"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526"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425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984"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125"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1037"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c>
          <w:tcPr>
            <w:tcW w:w="900" w:type="dxa"/>
            <w:shd w:val="clear" w:color="auto" w:fill="auto"/>
            <w:vAlign w:val="center"/>
          </w:tcPr>
          <w:p>
            <w:pPr>
              <w:autoSpaceDE w:val="0"/>
              <w:autoSpaceDN w:val="0"/>
              <w:adjustRightInd w:val="0"/>
              <w:spacing w:line="240" w:lineRule="auto"/>
              <w:ind w:firstLine="0" w:firstLineChars="0"/>
              <w:jc w:val="center"/>
              <w:rPr>
                <w:bCs/>
                <w:kern w:val="0"/>
                <w:sz w:val="24"/>
                <w:szCs w:val="24"/>
              </w:rPr>
            </w:pPr>
          </w:p>
        </w:tc>
      </w:tr>
    </w:tbl>
    <w:p>
      <w:pPr>
        <w:pStyle w:val="17"/>
        <w:rPr>
          <w:rFonts w:ascii="Times New Roman" w:hAnsi="Times New Roman"/>
          <w:color w:val="000000"/>
          <w:szCs w:val="24"/>
        </w:rPr>
        <w:sectPr>
          <w:pgSz w:w="16838" w:h="11906" w:orient="landscape"/>
          <w:pgMar w:top="1588" w:right="1701" w:bottom="1588" w:left="1701" w:header="1247" w:footer="851" w:gutter="0"/>
          <w:cols w:space="720" w:num="1"/>
          <w:docGrid w:type="lines" w:linePitch="381" w:charSpace="0"/>
        </w:sectPr>
      </w:pPr>
    </w:p>
    <w:p>
      <w:pPr>
        <w:pStyle w:val="4"/>
      </w:pPr>
      <w:r>
        <w:t>5运营期绩效考核方式</w:t>
      </w:r>
    </w:p>
    <w:p>
      <w:pPr>
        <w:pStyle w:val="17"/>
        <w:rPr>
          <w:rFonts w:ascii="Times New Roman" w:hAnsi="Times New Roman"/>
        </w:rPr>
      </w:pPr>
      <w:r>
        <w:rPr>
          <w:rFonts w:ascii="Times New Roman" w:hAnsi="Times New Roman"/>
        </w:rPr>
        <w:t>常规考核：本项目常规考核拟定为一年</w:t>
      </w:r>
      <w:r>
        <w:rPr>
          <w:rFonts w:hint="eastAsia" w:ascii="Times New Roman" w:hAnsi="Times New Roman"/>
        </w:rPr>
        <w:t>一</w:t>
      </w:r>
      <w:r>
        <w:rPr>
          <w:rFonts w:ascii="Times New Roman" w:hAnsi="Times New Roman"/>
        </w:rPr>
        <w:t>次，在区住建局下发考核通知后10日内完成。区住建局需提前48小时通知项目公司开始考核时间，项目公司在政府方监督下在规定的考核现场对项目公司服务、运营情况及设施设备等情况进行检查。</w:t>
      </w:r>
    </w:p>
    <w:p>
      <w:pPr>
        <w:pStyle w:val="17"/>
        <w:rPr>
          <w:rFonts w:ascii="Times New Roman" w:hAnsi="Times New Roman"/>
        </w:rPr>
      </w:pPr>
      <w:r>
        <w:rPr>
          <w:rFonts w:ascii="Times New Roman" w:hAnsi="Times New Roman"/>
        </w:rPr>
        <w:t>临时考核：区住建局可以随时自行考核项目公司的运营维护绩效，如发现缺陷，可以以书面形式通知项目公司。项目公司在接到区住建局书面通知后，应在规定的时间内修复缺陷。若临时考核发现的缺陷会导致设备设施破坏、项目运营受到严重影响，或存在重大安全隐患等情况，政府方应出具书面警告，要求项目公司立即整改。若项目公司拒不整改，政府方有权扣减运营期保函。</w:t>
      </w:r>
    </w:p>
    <w:p>
      <w:pPr>
        <w:pStyle w:val="17"/>
        <w:rPr>
          <w:rFonts w:ascii="Times New Roman" w:hAnsi="Times New Roman"/>
        </w:rPr>
      </w:pPr>
      <w:r>
        <w:rPr>
          <w:rFonts w:ascii="Times New Roman" w:hAnsi="Times New Roman"/>
        </w:rPr>
        <w:t>无论何种情况，项目公司应及时修复缺陷，否则区住建局可相应地扣减年政府可行性缺口补助。由政府方原因导致的损坏，其修复费用由政府方承担。</w:t>
      </w:r>
    </w:p>
    <w:p>
      <w:pPr>
        <w:pStyle w:val="17"/>
        <w:rPr>
          <w:rFonts w:ascii="Times New Roman" w:hAnsi="Times New Roman"/>
        </w:rPr>
      </w:pPr>
      <w:r>
        <w:rPr>
          <w:rFonts w:ascii="Times New Roman" w:hAnsi="Times New Roman"/>
        </w:rPr>
        <w:t>区住建局组织常规和临时绩效考核工作，并对每项绩效考核指标进行评分。运营期绩效考核分数作为付费当期依据。</w:t>
      </w:r>
    </w:p>
    <w:p>
      <w:pPr>
        <w:pStyle w:val="17"/>
        <w:rPr>
          <w:rFonts w:ascii="Times New Roman" w:hAnsi="Times New Roman"/>
        </w:rPr>
      </w:pPr>
      <w:r>
        <w:rPr>
          <w:rFonts w:ascii="Times New Roman" w:hAnsi="Times New Roman"/>
        </w:rPr>
        <w:t>根据绩效考核得分，对当年政府可行性缺口补助金额进行相应调整。由当期绩效考核得分β得出付费比例：</w:t>
      </w:r>
    </w:p>
    <w:p>
      <w:pPr>
        <w:adjustRightInd w:val="0"/>
        <w:spacing w:before="156" w:beforeLines="50" w:line="240" w:lineRule="auto"/>
        <w:ind w:firstLine="0" w:firstLineChars="0"/>
        <w:jc w:val="center"/>
        <w:rPr>
          <w:color w:val="000000"/>
          <w:szCs w:val="24"/>
        </w:rPr>
      </w:pPr>
      <w:r>
        <w:rPr>
          <w:color w:val="000000"/>
          <w:szCs w:val="24"/>
        </w:rPr>
        <w:t>表5-4 绩效考核得分与付费比例关系表</w:t>
      </w:r>
    </w:p>
    <w:tbl>
      <w:tblPr>
        <w:tblStyle w:val="12"/>
        <w:tblW w:w="57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3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blHeader/>
          <w:jc w:val="center"/>
        </w:trPr>
        <w:tc>
          <w:tcPr>
            <w:tcW w:w="2459" w:type="dxa"/>
            <w:shd w:val="clear" w:color="auto" w:fill="D9D9D9"/>
            <w:vAlign w:val="center"/>
          </w:tcPr>
          <w:p>
            <w:pPr>
              <w:autoSpaceDE w:val="0"/>
              <w:autoSpaceDN w:val="0"/>
              <w:spacing w:line="240" w:lineRule="auto"/>
              <w:ind w:firstLine="0" w:firstLineChars="0"/>
              <w:jc w:val="center"/>
              <w:rPr>
                <w:b/>
                <w:szCs w:val="21"/>
              </w:rPr>
            </w:pPr>
            <w:r>
              <w:rPr>
                <w:b/>
                <w:szCs w:val="21"/>
              </w:rPr>
              <w:t>考核得分β</w:t>
            </w:r>
          </w:p>
        </w:tc>
        <w:tc>
          <w:tcPr>
            <w:tcW w:w="3336" w:type="dxa"/>
            <w:shd w:val="clear" w:color="auto" w:fill="D9D9D9"/>
            <w:vAlign w:val="center"/>
          </w:tcPr>
          <w:p>
            <w:pPr>
              <w:autoSpaceDE w:val="0"/>
              <w:autoSpaceDN w:val="0"/>
              <w:spacing w:line="240" w:lineRule="auto"/>
              <w:ind w:firstLine="0" w:firstLineChars="0"/>
              <w:jc w:val="center"/>
              <w:rPr>
                <w:b/>
                <w:szCs w:val="21"/>
              </w:rPr>
            </w:pPr>
            <w:r>
              <w:rPr>
                <w:b/>
                <w:szCs w:val="21"/>
              </w:rPr>
              <w:t>付费比例S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2459" w:type="dxa"/>
            <w:vAlign w:val="center"/>
          </w:tcPr>
          <w:p>
            <w:pPr>
              <w:autoSpaceDE w:val="0"/>
              <w:autoSpaceDN w:val="0"/>
              <w:spacing w:line="240" w:lineRule="auto"/>
              <w:ind w:firstLine="0" w:firstLineChars="0"/>
              <w:jc w:val="center"/>
              <w:rPr>
                <w:szCs w:val="21"/>
              </w:rPr>
            </w:pPr>
            <w:r>
              <w:t>β</w:t>
            </w:r>
            <w:r>
              <w:rPr>
                <w:szCs w:val="21"/>
              </w:rPr>
              <w:t>≥90</w:t>
            </w:r>
          </w:p>
        </w:tc>
        <w:tc>
          <w:tcPr>
            <w:tcW w:w="3336" w:type="dxa"/>
            <w:vAlign w:val="center"/>
          </w:tcPr>
          <w:p>
            <w:pPr>
              <w:autoSpaceDE w:val="0"/>
              <w:autoSpaceDN w:val="0"/>
              <w:spacing w:line="240" w:lineRule="auto"/>
              <w:ind w:firstLine="0" w:firstLineChars="0"/>
              <w:jc w:val="cente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jc w:val="center"/>
        </w:trPr>
        <w:tc>
          <w:tcPr>
            <w:tcW w:w="2459" w:type="dxa"/>
            <w:vAlign w:val="center"/>
          </w:tcPr>
          <w:p>
            <w:pPr>
              <w:autoSpaceDE w:val="0"/>
              <w:autoSpaceDN w:val="0"/>
              <w:spacing w:line="240" w:lineRule="auto"/>
              <w:ind w:firstLine="0" w:firstLineChars="0"/>
              <w:jc w:val="center"/>
              <w:rPr>
                <w:szCs w:val="21"/>
              </w:rPr>
            </w:pPr>
            <w:r>
              <w:rPr>
                <w:szCs w:val="21"/>
              </w:rPr>
              <w:t>80≤</w:t>
            </w:r>
            <w:r>
              <w:t>β</w:t>
            </w:r>
            <w:r>
              <w:rPr>
                <w:szCs w:val="21"/>
              </w:rPr>
              <w:t>＜90</w:t>
            </w:r>
          </w:p>
        </w:tc>
        <w:tc>
          <w:tcPr>
            <w:tcW w:w="3336" w:type="dxa"/>
            <w:vAlign w:val="center"/>
          </w:tcPr>
          <w:p>
            <w:pPr>
              <w:autoSpaceDE w:val="0"/>
              <w:autoSpaceDN w:val="0"/>
              <w:spacing w:line="240" w:lineRule="auto"/>
              <w:ind w:firstLine="0" w:firstLineChars="0"/>
              <w:jc w:val="center"/>
              <w:rPr>
                <w:szCs w:val="21"/>
              </w:rPr>
            </w:pPr>
            <w:r>
              <w:t>（β/2+55）</w:t>
            </w: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jc w:val="center"/>
        </w:trPr>
        <w:tc>
          <w:tcPr>
            <w:tcW w:w="2459" w:type="dxa"/>
            <w:vAlign w:val="center"/>
          </w:tcPr>
          <w:p>
            <w:pPr>
              <w:autoSpaceDE w:val="0"/>
              <w:autoSpaceDN w:val="0"/>
              <w:spacing w:line="240" w:lineRule="auto"/>
              <w:ind w:firstLine="0" w:firstLineChars="0"/>
              <w:jc w:val="center"/>
              <w:rPr>
                <w:szCs w:val="21"/>
              </w:rPr>
            </w:pPr>
            <w:r>
              <w:rPr>
                <w:szCs w:val="21"/>
              </w:rPr>
              <w:t>70≤</w:t>
            </w:r>
            <w:r>
              <w:t>β</w:t>
            </w:r>
            <w:r>
              <w:rPr>
                <w:szCs w:val="21"/>
              </w:rPr>
              <w:t>＜80</w:t>
            </w:r>
          </w:p>
        </w:tc>
        <w:tc>
          <w:tcPr>
            <w:tcW w:w="3336" w:type="dxa"/>
            <w:vAlign w:val="center"/>
          </w:tcPr>
          <w:p>
            <w:pPr>
              <w:autoSpaceDE w:val="0"/>
              <w:autoSpaceDN w:val="0"/>
              <w:spacing w:line="240" w:lineRule="auto"/>
              <w:ind w:firstLine="0" w:firstLineChars="0"/>
              <w:jc w:val="center"/>
            </w:pPr>
            <w:r>
              <w:t>（β/2+55）</w:t>
            </w: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2459" w:type="dxa"/>
            <w:vAlign w:val="center"/>
          </w:tcPr>
          <w:p>
            <w:pPr>
              <w:autoSpaceDE w:val="0"/>
              <w:autoSpaceDN w:val="0"/>
              <w:spacing w:line="240" w:lineRule="auto"/>
              <w:ind w:firstLine="0" w:firstLineChars="0"/>
              <w:jc w:val="center"/>
              <w:rPr>
                <w:szCs w:val="21"/>
              </w:rPr>
            </w:pPr>
            <w:r>
              <w:rPr>
                <w:szCs w:val="21"/>
              </w:rPr>
              <w:t>60≤</w:t>
            </w:r>
            <w:r>
              <w:t>β</w:t>
            </w:r>
            <w:r>
              <w:rPr>
                <w:szCs w:val="21"/>
              </w:rPr>
              <w:t>＜70</w:t>
            </w:r>
          </w:p>
        </w:tc>
        <w:tc>
          <w:tcPr>
            <w:tcW w:w="3336" w:type="dxa"/>
            <w:vAlign w:val="center"/>
          </w:tcPr>
          <w:p>
            <w:pPr>
              <w:autoSpaceDE w:val="0"/>
              <w:autoSpaceDN w:val="0"/>
              <w:spacing w:line="240" w:lineRule="auto"/>
              <w:ind w:firstLine="0" w:firstLineChars="0"/>
              <w:jc w:val="center"/>
              <w:rPr>
                <w:szCs w:val="21"/>
              </w:rPr>
            </w:pPr>
            <w:r>
              <w:t>（β+20）</w:t>
            </w: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2459" w:type="dxa"/>
            <w:vAlign w:val="center"/>
          </w:tcPr>
          <w:p>
            <w:pPr>
              <w:autoSpaceDE w:val="0"/>
              <w:autoSpaceDN w:val="0"/>
              <w:spacing w:line="240" w:lineRule="auto"/>
              <w:ind w:firstLine="0" w:firstLineChars="0"/>
              <w:jc w:val="center"/>
              <w:rPr>
                <w:szCs w:val="21"/>
              </w:rPr>
            </w:pPr>
            <w:r>
              <w:t>β</w:t>
            </w:r>
            <w:r>
              <w:rPr>
                <w:szCs w:val="21"/>
              </w:rPr>
              <w:t>＜60</w:t>
            </w:r>
          </w:p>
        </w:tc>
        <w:tc>
          <w:tcPr>
            <w:tcW w:w="3336" w:type="dxa"/>
            <w:vAlign w:val="center"/>
          </w:tcPr>
          <w:p>
            <w:pPr>
              <w:autoSpaceDE w:val="0"/>
              <w:autoSpaceDN w:val="0"/>
              <w:spacing w:line="240" w:lineRule="auto"/>
              <w:ind w:firstLine="0" w:firstLineChars="0"/>
              <w:jc w:val="center"/>
              <w:rPr>
                <w:szCs w:val="21"/>
              </w:rPr>
            </w:pPr>
            <w:r>
              <w:rPr>
                <w:szCs w:val="21"/>
              </w:rPr>
              <w:t>0</w:t>
            </w:r>
          </w:p>
        </w:tc>
      </w:tr>
    </w:tbl>
    <w:p>
      <w:pPr>
        <w:pStyle w:val="17"/>
        <w:ind w:firstLine="0" w:firstLineChars="0"/>
        <w:jc w:val="center"/>
        <w:rPr>
          <w:rFonts w:ascii="Times New Roman" w:hAnsi="Times New Roman"/>
          <w:b/>
        </w:rPr>
      </w:pPr>
      <w:r>
        <w:rPr>
          <w:rFonts w:ascii="Times New Roman" w:hAnsi="Times New Roman"/>
          <w:b/>
        </w:rPr>
        <w:t>运营期实际政府可行性缺口补助 = 当期应付政府可行性缺口补助×S</w:t>
      </w:r>
    </w:p>
    <w:p>
      <w:pPr>
        <w:pStyle w:val="17"/>
        <w:rPr>
          <w:rFonts w:ascii="Times New Roman" w:hAnsi="Times New Roman"/>
        </w:rPr>
      </w:pPr>
      <w:r>
        <w:rPr>
          <w:rFonts w:ascii="Times New Roman" w:hAnsi="Times New Roman"/>
        </w:rPr>
        <w:t>当考核得分大于等于90分时，S为100%。</w:t>
      </w:r>
    </w:p>
    <w:p>
      <w:pPr>
        <w:pStyle w:val="17"/>
        <w:rPr>
          <w:rFonts w:ascii="Times New Roman" w:hAnsi="Times New Roman"/>
        </w:rPr>
      </w:pPr>
      <w:r>
        <w:rPr>
          <w:rFonts w:ascii="Times New Roman" w:hAnsi="Times New Roman"/>
        </w:rPr>
        <w:t>当考核得分大于等于80分，小于90分时，要求项目公司根据要求进行整改，若整改到位，S为100%，若整改后仍不合格，S为（β/2+55）×1%。</w:t>
      </w:r>
    </w:p>
    <w:p>
      <w:pPr>
        <w:pStyle w:val="17"/>
        <w:rPr>
          <w:rFonts w:ascii="Times New Roman" w:hAnsi="Times New Roman"/>
        </w:rPr>
      </w:pPr>
      <w:r>
        <w:rPr>
          <w:rFonts w:ascii="Times New Roman" w:hAnsi="Times New Roman"/>
        </w:rPr>
        <w:t>当考核得分大于等于70分，小于80分时，S为（β/2+55）×1%，并要求项目公司根据要求进行整改。</w:t>
      </w:r>
    </w:p>
    <w:p>
      <w:pPr>
        <w:pStyle w:val="17"/>
        <w:rPr>
          <w:rFonts w:ascii="Times New Roman" w:hAnsi="Times New Roman"/>
        </w:rPr>
      </w:pPr>
      <w:r>
        <w:rPr>
          <w:rFonts w:ascii="Times New Roman" w:hAnsi="Times New Roman"/>
        </w:rPr>
        <w:t>当考核得分大于等于60分，小于70分时，S为（β+20）×1%，并要求项目公司根据要求进行整改。</w:t>
      </w:r>
    </w:p>
    <w:p>
      <w:pPr>
        <w:pStyle w:val="17"/>
        <w:rPr>
          <w:rFonts w:ascii="Times New Roman" w:hAnsi="Times New Roman"/>
        </w:rPr>
      </w:pPr>
      <w:r>
        <w:rPr>
          <w:rFonts w:ascii="Times New Roman" w:hAnsi="Times New Roman"/>
        </w:rPr>
        <w:t>当绩效考核得分&lt;60分时，由区住建局对项目公司负责人进行约谈，并限期在一个月内按照绩效考核标准进行整改，整改费用由项目公司自行承担，不作为计算政府补助的成本费用。整改后，区住建局再次组织考核，重新评分，并根据最终的考核得分相应的扣减政府补助。若项目公司拒不整改，或整改后考核分数仍低于60分，则政府方有权选择第三方进行整改，由此产生的相关费用从运维保函中扣减。如果对项目公司的最终绩效考核结果连续二次低于60分，视为项目公司违约，政府方有权终止合同。</w:t>
      </w:r>
    </w:p>
    <w:p>
      <w:pPr>
        <w:ind w:firstLine="56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MingLiU"/>
    <w:panose1 w:val="00000000000000000000"/>
    <w:charset w:val="00"/>
    <w:family w:val="auto"/>
    <w:pitch w:val="default"/>
    <w:sig w:usb0="00000000" w:usb1="00000000" w:usb2="00000000" w:usb3="00000000" w:csb0="00000000" w:csb1="00000000"/>
  </w:font>
  <w:font w:name="仿宋">
    <w:altName w:val="微软雅黑"/>
    <w:panose1 w:val="02010609060101010101"/>
    <w:charset w:val="86"/>
    <w:family w:val="modern"/>
    <w:pitch w:val="default"/>
    <w:sig w:usb0="00000000" w:usb1="00000000" w:usb2="00000016" w:usb3="00000000" w:csb0="00040001" w:csb1="00000000"/>
  </w:font>
  <w:font w:name="Cambria">
    <w:panose1 w:val="02040503050406030204"/>
    <w:charset w:val="00"/>
    <w:family w:val="roman"/>
    <w:pitch w:val="default"/>
    <w:sig w:usb0="A00002EF" w:usb1="4000004B" w:usb2="00000000" w:usb3="00000000" w:csb0="2000009F" w:csb1="00000000"/>
  </w:font>
  <w:font w:name="楷体">
    <w:altName w:val="宋体"/>
    <w:panose1 w:val="02010609060101010101"/>
    <w:charset w:val="86"/>
    <w:family w:val="modern"/>
    <w:pitch w:val="default"/>
    <w:sig w:usb0="00000000" w:usb1="00000000" w:usb2="00000016" w:usb3="00000000" w:csb0="00040001" w:csb1="00000000"/>
  </w:font>
  <w:font w:name="MingLiU">
    <w:panose1 w:val="02020509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MT Extra">
    <w:panose1 w:val="05050102010205020202"/>
    <w:charset w:val="00"/>
    <w:family w:val="auto"/>
    <w:pitch w:val="default"/>
    <w:sig w:usb0="80000000" w:usb1="00000000" w:usb2="00000000" w:usb3="00000000" w:csb0="00000000" w:csb1="00000000"/>
  </w:font>
  <w:font w:name="Segoe UI Symbol">
    <w:panose1 w:val="020B0502040204020203"/>
    <w:charset w:val="00"/>
    <w:family w:val="auto"/>
    <w:pitch w:val="default"/>
    <w:sig w:usb0="8000006F" w:usb1="1200FBEF" w:usb2="0004C000" w:usb3="00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rPr>
      <w:t>75</w:t>
    </w:r>
    <w:r>
      <w:rPr>
        <w:rFonts w:ascii="Times New Roman" w:hAnsi="Times New Roman"/>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adjustRightInd w:val="0"/>
      <w:spacing w:line="240" w:lineRule="auto"/>
      <w:ind w:right="-28" w:rightChars="-10" w:firstLine="0" w:firstLineChars="0"/>
      <w:rPr>
        <w:rFonts w:ascii="仿宋" w:hAnsi="仿宋"/>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adjustRightInd w:val="0"/>
      <w:spacing w:line="240" w:lineRule="auto"/>
      <w:ind w:right="-28" w:rightChars="-10" w:firstLine="0" w:firstLineChars="0"/>
      <w:rPr>
        <w:rFonts w:ascii="仿宋" w:hAnsi="仿宋"/>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302"/>
    <w:rsid w:val="000C1401"/>
    <w:rsid w:val="001A5B8C"/>
    <w:rsid w:val="001E7793"/>
    <w:rsid w:val="002E0561"/>
    <w:rsid w:val="003008E8"/>
    <w:rsid w:val="00314DCF"/>
    <w:rsid w:val="00322909"/>
    <w:rsid w:val="0034569E"/>
    <w:rsid w:val="003A44D9"/>
    <w:rsid w:val="00411302"/>
    <w:rsid w:val="004573DB"/>
    <w:rsid w:val="004A1FB2"/>
    <w:rsid w:val="005300BE"/>
    <w:rsid w:val="005479F1"/>
    <w:rsid w:val="00565C59"/>
    <w:rsid w:val="00572AF1"/>
    <w:rsid w:val="005E58F1"/>
    <w:rsid w:val="00615707"/>
    <w:rsid w:val="006538D6"/>
    <w:rsid w:val="006F67AC"/>
    <w:rsid w:val="007B1A3C"/>
    <w:rsid w:val="007C3212"/>
    <w:rsid w:val="00827E68"/>
    <w:rsid w:val="008555BE"/>
    <w:rsid w:val="0086185C"/>
    <w:rsid w:val="00867263"/>
    <w:rsid w:val="008C20D5"/>
    <w:rsid w:val="00947B8F"/>
    <w:rsid w:val="009878C1"/>
    <w:rsid w:val="00B37E18"/>
    <w:rsid w:val="00B531F1"/>
    <w:rsid w:val="00C04030"/>
    <w:rsid w:val="00C47F66"/>
    <w:rsid w:val="00C67667"/>
    <w:rsid w:val="00C90F4F"/>
    <w:rsid w:val="00DE53B7"/>
    <w:rsid w:val="00E068F4"/>
    <w:rsid w:val="00E56459"/>
    <w:rsid w:val="00ED0FB6"/>
    <w:rsid w:val="00F0632A"/>
    <w:rsid w:val="00F46E44"/>
    <w:rsid w:val="00F77FCC"/>
    <w:rsid w:val="00FC29C9"/>
    <w:rsid w:val="00FC53AE"/>
    <w:rsid w:val="5257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line="360" w:lineRule="auto"/>
      <w:ind w:firstLine="200" w:firstLineChars="200"/>
      <w:jc w:val="both"/>
    </w:pPr>
    <w:rPr>
      <w:rFonts w:ascii="Times New Roman" w:hAnsi="Times New Roman" w:eastAsia="仿宋" w:cs="Times New Roman"/>
      <w:kern w:val="2"/>
      <w:sz w:val="28"/>
      <w:szCs w:val="22"/>
      <w:lang w:val="en-US" w:eastAsia="zh-CN" w:bidi="ar-SA"/>
    </w:rPr>
  </w:style>
  <w:style w:type="paragraph" w:styleId="3">
    <w:name w:val="heading 2"/>
    <w:basedOn w:val="1"/>
    <w:next w:val="1"/>
    <w:link w:val="15"/>
    <w:unhideWhenUsed/>
    <w:qFormat/>
    <w:uiPriority w:val="9"/>
    <w:pPr>
      <w:adjustRightInd w:val="0"/>
      <w:spacing w:line="560" w:lineRule="exact"/>
      <w:ind w:firstLine="0" w:firstLineChars="0"/>
      <w:outlineLvl w:val="1"/>
    </w:pPr>
    <w:rPr>
      <w:rFonts w:ascii="Cambria" w:hAnsi="Cambria" w:eastAsia="楷体"/>
      <w:b/>
      <w:bCs/>
      <w:sz w:val="32"/>
      <w:szCs w:val="32"/>
    </w:rPr>
  </w:style>
  <w:style w:type="paragraph" w:styleId="4">
    <w:name w:val="heading 5"/>
    <w:basedOn w:val="1"/>
    <w:next w:val="1"/>
    <w:link w:val="16"/>
    <w:unhideWhenUsed/>
    <w:qFormat/>
    <w:uiPriority w:val="9"/>
    <w:pPr>
      <w:adjustRightInd w:val="0"/>
      <w:spacing w:line="560" w:lineRule="exact"/>
      <w:ind w:firstLine="643"/>
      <w:outlineLvl w:val="4"/>
    </w:pPr>
    <w:rPr>
      <w:b/>
      <w:bCs/>
      <w:sz w:val="32"/>
      <w:szCs w:val="28"/>
    </w:rPr>
  </w:style>
  <w:style w:type="character" w:default="1" w:styleId="10">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9"/>
    <w:semiHidden/>
    <w:unhideWhenUsed/>
    <w:qFormat/>
    <w:uiPriority w:val="99"/>
    <w:pPr>
      <w:spacing w:after="120"/>
    </w:pPr>
  </w:style>
  <w:style w:type="paragraph" w:styleId="5">
    <w:name w:val="annotation subject"/>
    <w:basedOn w:val="6"/>
    <w:next w:val="6"/>
    <w:link w:val="22"/>
    <w:semiHidden/>
    <w:unhideWhenUsed/>
    <w:qFormat/>
    <w:uiPriority w:val="99"/>
    <w:rPr>
      <w:b/>
      <w:bCs/>
    </w:rPr>
  </w:style>
  <w:style w:type="paragraph" w:styleId="6">
    <w:name w:val="annotation text"/>
    <w:basedOn w:val="1"/>
    <w:link w:val="21"/>
    <w:semiHidden/>
    <w:unhideWhenUsed/>
    <w:qFormat/>
    <w:uiPriority w:val="99"/>
    <w:pPr>
      <w:jc w:val="left"/>
    </w:pPr>
  </w:style>
  <w:style w:type="paragraph" w:styleId="7">
    <w:name w:val="Balloon Text"/>
    <w:basedOn w:val="1"/>
    <w:link w:val="20"/>
    <w:semiHidden/>
    <w:unhideWhenUsed/>
    <w:qFormat/>
    <w:uiPriority w:val="99"/>
    <w:pPr>
      <w:spacing w:line="240" w:lineRule="auto"/>
    </w:pPr>
    <w:rPr>
      <w:sz w:val="18"/>
      <w:szCs w:val="18"/>
    </w:rPr>
  </w:style>
  <w:style w:type="paragraph" w:styleId="8">
    <w:name w:val="footer"/>
    <w:basedOn w:val="1"/>
    <w:link w:val="14"/>
    <w:unhideWhenUsed/>
    <w:qFormat/>
    <w:uiPriority w:val="99"/>
    <w:pPr>
      <w:tabs>
        <w:tab w:val="center" w:pos="4153"/>
        <w:tab w:val="right" w:pos="8306"/>
      </w:tabs>
      <w:spacing w:line="240" w:lineRule="auto"/>
      <w:ind w:firstLine="0" w:firstLineChars="0"/>
      <w:jc w:val="left"/>
    </w:pPr>
    <w:rPr>
      <w:rFonts w:asciiTheme="minorHAnsi" w:hAnsiTheme="minorHAnsi" w:eastAsiaTheme="minorEastAsia" w:cstheme="minorBidi"/>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pacing w:line="240" w:lineRule="auto"/>
      <w:ind w:firstLine="0" w:firstLineChars="0"/>
      <w:jc w:val="center"/>
    </w:pPr>
    <w:rPr>
      <w:rFonts w:asciiTheme="minorHAnsi" w:hAnsiTheme="minorHAnsi" w:eastAsiaTheme="minorEastAsia" w:cstheme="minorBidi"/>
      <w:sz w:val="18"/>
      <w:szCs w:val="18"/>
    </w:rPr>
  </w:style>
  <w:style w:type="character" w:styleId="11">
    <w:name w:val="annotation reference"/>
    <w:basedOn w:val="10"/>
    <w:semiHidden/>
    <w:unhideWhenUsed/>
    <w:qFormat/>
    <w:uiPriority w:val="99"/>
    <w:rPr>
      <w:sz w:val="21"/>
      <w:szCs w:val="21"/>
    </w:rPr>
  </w:style>
  <w:style w:type="character" w:customStyle="1" w:styleId="13">
    <w:name w:val="页眉 字符"/>
    <w:basedOn w:val="10"/>
    <w:link w:val="9"/>
    <w:qFormat/>
    <w:uiPriority w:val="99"/>
    <w:rPr>
      <w:sz w:val="18"/>
      <w:szCs w:val="18"/>
    </w:rPr>
  </w:style>
  <w:style w:type="character" w:customStyle="1" w:styleId="14">
    <w:name w:val="页脚 字符"/>
    <w:basedOn w:val="10"/>
    <w:link w:val="8"/>
    <w:qFormat/>
    <w:uiPriority w:val="99"/>
    <w:rPr>
      <w:sz w:val="18"/>
      <w:szCs w:val="18"/>
    </w:rPr>
  </w:style>
  <w:style w:type="character" w:customStyle="1" w:styleId="15">
    <w:name w:val="标题 2 字符"/>
    <w:basedOn w:val="10"/>
    <w:link w:val="3"/>
    <w:qFormat/>
    <w:uiPriority w:val="9"/>
    <w:rPr>
      <w:rFonts w:ascii="Cambria" w:hAnsi="Cambria" w:eastAsia="楷体" w:cs="Times New Roman"/>
      <w:b/>
      <w:bCs/>
      <w:sz w:val="32"/>
      <w:szCs w:val="32"/>
    </w:rPr>
  </w:style>
  <w:style w:type="character" w:customStyle="1" w:styleId="16">
    <w:name w:val="标题 5 字符"/>
    <w:basedOn w:val="10"/>
    <w:link w:val="4"/>
    <w:qFormat/>
    <w:uiPriority w:val="9"/>
    <w:rPr>
      <w:rFonts w:ascii="Times New Roman" w:hAnsi="Times New Roman" w:eastAsia="仿宋" w:cs="Times New Roman"/>
      <w:b/>
      <w:bCs/>
      <w:sz w:val="32"/>
      <w:szCs w:val="28"/>
    </w:rPr>
  </w:style>
  <w:style w:type="paragraph" w:customStyle="1" w:styleId="17">
    <w:name w:val="华伦正文"/>
    <w:basedOn w:val="1"/>
    <w:link w:val="18"/>
    <w:qFormat/>
    <w:uiPriority w:val="0"/>
    <w:pPr>
      <w:adjustRightInd w:val="0"/>
      <w:spacing w:line="560" w:lineRule="exact"/>
      <w:ind w:firstLine="640"/>
      <w:jc w:val="left"/>
    </w:pPr>
    <w:rPr>
      <w:rFonts w:ascii="Calibri" w:hAnsi="Calibri"/>
      <w:sz w:val="32"/>
      <w:szCs w:val="28"/>
    </w:rPr>
  </w:style>
  <w:style w:type="character" w:customStyle="1" w:styleId="18">
    <w:name w:val="华伦正文 Char"/>
    <w:link w:val="17"/>
    <w:qFormat/>
    <w:uiPriority w:val="0"/>
    <w:rPr>
      <w:rFonts w:ascii="Calibri" w:hAnsi="Calibri" w:eastAsia="仿宋" w:cs="Times New Roman"/>
      <w:sz w:val="32"/>
      <w:szCs w:val="28"/>
    </w:rPr>
  </w:style>
  <w:style w:type="character" w:customStyle="1" w:styleId="19">
    <w:name w:val="正文文本 字符"/>
    <w:basedOn w:val="10"/>
    <w:link w:val="2"/>
    <w:semiHidden/>
    <w:qFormat/>
    <w:uiPriority w:val="99"/>
    <w:rPr>
      <w:rFonts w:ascii="Times New Roman" w:hAnsi="Times New Roman" w:eastAsia="仿宋" w:cs="Times New Roman"/>
      <w:sz w:val="28"/>
    </w:rPr>
  </w:style>
  <w:style w:type="character" w:customStyle="1" w:styleId="20">
    <w:name w:val="批注框文本 字符"/>
    <w:basedOn w:val="10"/>
    <w:link w:val="7"/>
    <w:semiHidden/>
    <w:qFormat/>
    <w:uiPriority w:val="99"/>
    <w:rPr>
      <w:rFonts w:ascii="Times New Roman" w:hAnsi="Times New Roman" w:eastAsia="仿宋" w:cs="Times New Roman"/>
      <w:sz w:val="18"/>
      <w:szCs w:val="18"/>
    </w:rPr>
  </w:style>
  <w:style w:type="character" w:customStyle="1" w:styleId="21">
    <w:name w:val="批注文字 字符"/>
    <w:basedOn w:val="10"/>
    <w:link w:val="6"/>
    <w:semiHidden/>
    <w:qFormat/>
    <w:uiPriority w:val="99"/>
    <w:rPr>
      <w:rFonts w:ascii="Times New Roman" w:hAnsi="Times New Roman" w:eastAsia="仿宋" w:cs="Times New Roman"/>
      <w:sz w:val="28"/>
    </w:rPr>
  </w:style>
  <w:style w:type="character" w:customStyle="1" w:styleId="22">
    <w:name w:val="批注主题 字符"/>
    <w:basedOn w:val="21"/>
    <w:link w:val="5"/>
    <w:semiHidden/>
    <w:qFormat/>
    <w:uiPriority w:val="99"/>
    <w:rPr>
      <w:rFonts w:ascii="Times New Roman" w:hAnsi="Times New Roman" w:eastAsia="仿宋" w:cs="Times New Roman"/>
      <w:b/>
      <w:bCs/>
      <w:sz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1233</Words>
  <Characters>7030</Characters>
  <Lines>58</Lines>
  <Paragraphs>16</Paragraphs>
  <TotalTime>3</TotalTime>
  <ScaleCrop>false</ScaleCrop>
  <LinksUpToDate>false</LinksUpToDate>
  <CharactersWithSpaces>8247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2020-09-17T15:09:00Z</dcterms:created>
  <dc:creator>Administrator</dc:creator>
  <cp:lastModifiedBy>帅开顺</cp:lastModifiedBy>
  <cp:lastPrinted>2020-09-14T08:55:00Z</cp:lastPrinted>
  <dcterms:modified xsi:type="dcterms:W3CDTF">2020-09-18T05:19:25Z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